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AE5E6" w14:textId="77777777" w:rsidR="00DB0BEA" w:rsidRPr="00DB0BEA" w:rsidRDefault="00DB0BEA" w:rsidP="000C3087">
      <w:pPr>
        <w:rPr>
          <w:rFonts w:ascii="Times New Roman" w:hAnsi="Times New Roman" w:cs="Times New Roman"/>
          <w:b/>
          <w:sz w:val="24"/>
          <w:szCs w:val="24"/>
        </w:rPr>
      </w:pPr>
      <w:r w:rsidRPr="00DB0BEA">
        <w:rPr>
          <w:rFonts w:ascii="Times New Roman" w:hAnsi="Times New Roman" w:cs="Times New Roman"/>
          <w:b/>
          <w:noProof/>
          <w:sz w:val="24"/>
          <w:szCs w:val="24"/>
          <w:lang w:eastAsia="is-IS"/>
        </w:rPr>
        <w:drawing>
          <wp:inline distT="0" distB="0" distL="0" distR="0" wp14:anchorId="6F5367F5" wp14:editId="6DC8213B">
            <wp:extent cx="666750" cy="1019175"/>
            <wp:effectExtent l="0" t="0" r="0" b="9525"/>
            <wp:docPr id="1" name="Picture 1" descr="C:\Users\Public\Pictures\Sample Pictures\Logo Skaftarhreppur_lit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Logo Skaftarhreppur_liti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1019175"/>
                    </a:xfrm>
                    <a:prstGeom prst="rect">
                      <a:avLst/>
                    </a:prstGeom>
                    <a:noFill/>
                    <a:ln>
                      <a:noFill/>
                    </a:ln>
                  </pic:spPr>
                </pic:pic>
              </a:graphicData>
            </a:graphic>
          </wp:inline>
        </w:drawing>
      </w:r>
    </w:p>
    <w:p w14:paraId="4672A709" w14:textId="5DA2AC48" w:rsidR="00622436" w:rsidRPr="00DB0BEA" w:rsidRDefault="00622436" w:rsidP="000C3087">
      <w:pPr>
        <w:rPr>
          <w:rFonts w:ascii="Times New Roman" w:hAnsi="Times New Roman" w:cs="Times New Roman"/>
          <w:b/>
          <w:sz w:val="28"/>
          <w:szCs w:val="28"/>
        </w:rPr>
      </w:pPr>
      <w:r w:rsidRPr="00DB0BEA">
        <w:rPr>
          <w:rFonts w:ascii="Times New Roman" w:hAnsi="Times New Roman" w:cs="Times New Roman"/>
          <w:b/>
          <w:sz w:val="28"/>
          <w:szCs w:val="28"/>
        </w:rPr>
        <w:t>Jafnréttisáætlun Skaftárhrepps</w:t>
      </w:r>
      <w:r w:rsidR="00DB0BEA">
        <w:rPr>
          <w:rFonts w:ascii="Times New Roman" w:hAnsi="Times New Roman" w:cs="Times New Roman"/>
          <w:b/>
          <w:sz w:val="28"/>
          <w:szCs w:val="28"/>
        </w:rPr>
        <w:t xml:space="preserve"> 20</w:t>
      </w:r>
      <w:r w:rsidR="0048283D">
        <w:rPr>
          <w:rFonts w:ascii="Times New Roman" w:hAnsi="Times New Roman" w:cs="Times New Roman"/>
          <w:b/>
          <w:sz w:val="28"/>
          <w:szCs w:val="28"/>
        </w:rPr>
        <w:t>22-2026</w:t>
      </w:r>
    </w:p>
    <w:p w14:paraId="377ECF20" w14:textId="61CA917F" w:rsidR="009810D0" w:rsidRDefault="009810D0" w:rsidP="00222668">
      <w:pPr>
        <w:ind w:left="0" w:firstLine="0"/>
        <w:jc w:val="both"/>
        <w:rPr>
          <w:rFonts w:ascii="Times New Roman" w:hAnsi="Times New Roman" w:cs="Times New Roman"/>
          <w:sz w:val="24"/>
          <w:szCs w:val="24"/>
        </w:rPr>
      </w:pPr>
      <w:r w:rsidRPr="00DB0BEA">
        <w:rPr>
          <w:rFonts w:ascii="Times New Roman" w:hAnsi="Times New Roman" w:cs="Times New Roman"/>
          <w:sz w:val="24"/>
          <w:szCs w:val="24"/>
        </w:rPr>
        <w:t>Markmið jafnréttisáætlunar Skaftárhrepps  er að jafna stöðu</w:t>
      </w:r>
      <w:r w:rsidR="00B44177">
        <w:rPr>
          <w:rFonts w:ascii="Times New Roman" w:hAnsi="Times New Roman" w:cs="Times New Roman"/>
          <w:sz w:val="24"/>
          <w:szCs w:val="24"/>
        </w:rPr>
        <w:t xml:space="preserve"> og jafna rétt </w:t>
      </w:r>
      <w:r w:rsidR="0048283D">
        <w:rPr>
          <w:rFonts w:ascii="Times New Roman" w:hAnsi="Times New Roman" w:cs="Times New Roman"/>
          <w:sz w:val="24"/>
          <w:szCs w:val="24"/>
        </w:rPr>
        <w:t>allra kynja</w:t>
      </w:r>
      <w:r w:rsidR="00834695">
        <w:rPr>
          <w:rFonts w:ascii="Times New Roman" w:hAnsi="Times New Roman" w:cs="Times New Roman"/>
          <w:sz w:val="24"/>
          <w:szCs w:val="24"/>
        </w:rPr>
        <w:t xml:space="preserve"> í allri starfsemi sveitarfélagsins</w:t>
      </w:r>
      <w:r w:rsidRPr="00DB0BEA">
        <w:rPr>
          <w:rFonts w:ascii="Times New Roman" w:hAnsi="Times New Roman" w:cs="Times New Roman"/>
          <w:sz w:val="24"/>
          <w:szCs w:val="24"/>
        </w:rPr>
        <w:t xml:space="preserve">. Áætlunin byggir á lögum um jafna stöðu og jafnan rétt </w:t>
      </w:r>
      <w:r w:rsidR="0048283D">
        <w:rPr>
          <w:rFonts w:ascii="Times New Roman" w:hAnsi="Times New Roman" w:cs="Times New Roman"/>
          <w:sz w:val="24"/>
          <w:szCs w:val="24"/>
        </w:rPr>
        <w:t>allra kynja</w:t>
      </w:r>
      <w:r w:rsidR="005302FD">
        <w:rPr>
          <w:rFonts w:ascii="Times New Roman" w:hAnsi="Times New Roman" w:cs="Times New Roman"/>
          <w:sz w:val="24"/>
          <w:szCs w:val="24"/>
        </w:rPr>
        <w:t xml:space="preserve"> nr. 10/2008 og ber sveitarstjórn Skaftárhrepps ábyrgð á að áætluninni í heild sé framfylgt.</w:t>
      </w:r>
      <w:r w:rsidR="00622436" w:rsidRPr="00DB0BEA">
        <w:rPr>
          <w:rFonts w:ascii="Times New Roman" w:hAnsi="Times New Roman" w:cs="Times New Roman"/>
          <w:sz w:val="24"/>
          <w:szCs w:val="24"/>
        </w:rPr>
        <w:t xml:space="preserve"> Í jafnréttisáætluninni felst jafnfram</w:t>
      </w:r>
      <w:r w:rsidR="007112BC">
        <w:rPr>
          <w:rFonts w:ascii="Times New Roman" w:hAnsi="Times New Roman" w:cs="Times New Roman"/>
          <w:sz w:val="24"/>
          <w:szCs w:val="24"/>
        </w:rPr>
        <w:t>t</w:t>
      </w:r>
      <w:r w:rsidR="00622436" w:rsidRPr="00DB0BEA">
        <w:rPr>
          <w:rFonts w:ascii="Times New Roman" w:hAnsi="Times New Roman" w:cs="Times New Roman"/>
          <w:sz w:val="24"/>
          <w:szCs w:val="24"/>
        </w:rPr>
        <w:t xml:space="preserve"> viðurkenning á því að nauðsynlegt sé að grípa til sérstakra aðgerða til að raunverulegt jafnrétti kynjanna náist.</w:t>
      </w:r>
    </w:p>
    <w:p w14:paraId="16DCC3B6" w14:textId="77777777" w:rsidR="00F111AD" w:rsidRPr="00DB0BEA" w:rsidRDefault="00F111AD" w:rsidP="00222668">
      <w:pPr>
        <w:ind w:left="0" w:firstLine="0"/>
        <w:jc w:val="both"/>
        <w:rPr>
          <w:rFonts w:ascii="Times New Roman" w:hAnsi="Times New Roman" w:cs="Times New Roman"/>
          <w:sz w:val="24"/>
          <w:szCs w:val="24"/>
        </w:rPr>
      </w:pPr>
      <w:r>
        <w:rPr>
          <w:rFonts w:ascii="Times New Roman" w:hAnsi="Times New Roman" w:cs="Times New Roman"/>
          <w:sz w:val="24"/>
          <w:szCs w:val="24"/>
        </w:rPr>
        <w:t>Sveitarstjórn lítur svo á að stjórnunarhæfileikinn sé ekki kynbundinn og verði ekki metinn út frá kynferði. Hverjum manni ber að stuðla að því að jafnréttisáætlun sé haldin m.a. með því að koma fram við starfsmenn, st</w:t>
      </w:r>
      <w:r w:rsidR="00931473">
        <w:rPr>
          <w:rFonts w:ascii="Times New Roman" w:hAnsi="Times New Roman" w:cs="Times New Roman"/>
          <w:sz w:val="24"/>
          <w:szCs w:val="24"/>
        </w:rPr>
        <w:t>arfsumsækjendur og viðskiptavini</w:t>
      </w:r>
      <w:r>
        <w:rPr>
          <w:rFonts w:ascii="Times New Roman" w:hAnsi="Times New Roman" w:cs="Times New Roman"/>
          <w:sz w:val="24"/>
          <w:szCs w:val="24"/>
        </w:rPr>
        <w:t xml:space="preserve"> af óhlutdrægni.</w:t>
      </w:r>
    </w:p>
    <w:p w14:paraId="2E4CE2BA" w14:textId="77777777" w:rsidR="009810D0" w:rsidRDefault="009810D0" w:rsidP="00222668">
      <w:pPr>
        <w:ind w:left="0" w:firstLine="0"/>
        <w:jc w:val="both"/>
        <w:rPr>
          <w:rFonts w:ascii="Times New Roman" w:hAnsi="Times New Roman" w:cs="Times New Roman"/>
          <w:sz w:val="24"/>
          <w:szCs w:val="24"/>
        </w:rPr>
      </w:pPr>
      <w:r w:rsidRPr="00DB0BEA">
        <w:rPr>
          <w:rFonts w:ascii="Times New Roman" w:hAnsi="Times New Roman" w:cs="Times New Roman"/>
          <w:sz w:val="24"/>
          <w:szCs w:val="24"/>
        </w:rPr>
        <w:t>Allar stofnanir sveitarfélagsins skulu taka mið af jafnréttisáætluninni.</w:t>
      </w:r>
    </w:p>
    <w:p w14:paraId="56A2C998" w14:textId="77777777" w:rsidR="00BB5085" w:rsidRDefault="00BB5085" w:rsidP="00222668">
      <w:pPr>
        <w:ind w:left="0" w:firstLine="0"/>
        <w:jc w:val="both"/>
        <w:rPr>
          <w:rFonts w:ascii="Times New Roman" w:hAnsi="Times New Roman" w:cs="Times New Roman"/>
          <w:sz w:val="24"/>
          <w:szCs w:val="24"/>
        </w:rPr>
      </w:pPr>
      <w:r>
        <w:rPr>
          <w:rFonts w:ascii="Times New Roman" w:hAnsi="Times New Roman" w:cs="Times New Roman"/>
          <w:sz w:val="24"/>
          <w:szCs w:val="24"/>
        </w:rPr>
        <w:t>Stjórnendur og starfsmenn Skaftárhrepps bera ábyrgð á því að gæta jafnréttis kynja innan stjórnkerfis sveitarfélagsins.</w:t>
      </w:r>
    </w:p>
    <w:p w14:paraId="3E1CA5C2" w14:textId="77777777" w:rsidR="00834695" w:rsidRPr="00DB0BEA" w:rsidRDefault="00834695" w:rsidP="00222668">
      <w:pPr>
        <w:ind w:left="0" w:firstLine="0"/>
        <w:jc w:val="both"/>
        <w:rPr>
          <w:rFonts w:ascii="Times New Roman" w:hAnsi="Times New Roman" w:cs="Times New Roman"/>
          <w:sz w:val="24"/>
          <w:szCs w:val="24"/>
        </w:rPr>
      </w:pPr>
    </w:p>
    <w:p w14:paraId="6C0FDFA3" w14:textId="77777777" w:rsidR="009810D0" w:rsidRPr="00DB0BEA" w:rsidRDefault="009810D0">
      <w:pPr>
        <w:rPr>
          <w:rFonts w:ascii="Times New Roman" w:hAnsi="Times New Roman" w:cs="Times New Roman"/>
          <w:b/>
          <w:sz w:val="24"/>
          <w:szCs w:val="24"/>
        </w:rPr>
      </w:pPr>
      <w:r w:rsidRPr="00DB0BEA">
        <w:rPr>
          <w:rFonts w:ascii="Times New Roman" w:hAnsi="Times New Roman" w:cs="Times New Roman"/>
          <w:b/>
          <w:sz w:val="24"/>
          <w:szCs w:val="24"/>
        </w:rPr>
        <w:t>Jafnréttisnefnd</w:t>
      </w:r>
    </w:p>
    <w:p w14:paraId="38035A17" w14:textId="7C2810F0" w:rsidR="009810D0" w:rsidRPr="00DB0BEA" w:rsidRDefault="009810D0" w:rsidP="002F7828">
      <w:pPr>
        <w:ind w:left="142" w:firstLine="0"/>
        <w:jc w:val="both"/>
        <w:rPr>
          <w:rFonts w:ascii="Times New Roman" w:hAnsi="Times New Roman" w:cs="Times New Roman"/>
          <w:sz w:val="24"/>
          <w:szCs w:val="24"/>
        </w:rPr>
      </w:pPr>
      <w:r w:rsidRPr="00DB0BEA">
        <w:rPr>
          <w:rFonts w:ascii="Times New Roman" w:hAnsi="Times New Roman" w:cs="Times New Roman"/>
          <w:sz w:val="24"/>
          <w:szCs w:val="24"/>
        </w:rPr>
        <w:t xml:space="preserve">Hlutverk jafnréttisnefndar er stefnumótun, stjórn og samræming á jafnréttismálum sveitarfélagsins. </w:t>
      </w:r>
      <w:r w:rsidR="00BA531E" w:rsidRPr="00DB0BEA">
        <w:rPr>
          <w:rFonts w:ascii="Times New Roman" w:hAnsi="Times New Roman" w:cs="Times New Roman"/>
          <w:sz w:val="24"/>
          <w:szCs w:val="24"/>
        </w:rPr>
        <w:t xml:space="preserve">Jafnréttisnefnd </w:t>
      </w:r>
      <w:r w:rsidR="000C3087" w:rsidRPr="00DB0BEA">
        <w:rPr>
          <w:rFonts w:ascii="Times New Roman" w:hAnsi="Times New Roman" w:cs="Times New Roman"/>
          <w:sz w:val="24"/>
          <w:szCs w:val="24"/>
        </w:rPr>
        <w:t xml:space="preserve">starfar í umboði sveitarstjórnar Skaftárhrepps og </w:t>
      </w:r>
      <w:r w:rsidR="00BA531E" w:rsidRPr="00DB0BEA">
        <w:rPr>
          <w:rFonts w:ascii="Times New Roman" w:hAnsi="Times New Roman" w:cs="Times New Roman"/>
          <w:sz w:val="24"/>
          <w:szCs w:val="24"/>
        </w:rPr>
        <w:t xml:space="preserve">er ráðgefandi í málefnum er varða jafnrétti </w:t>
      </w:r>
      <w:r w:rsidR="0048283D">
        <w:rPr>
          <w:rFonts w:ascii="Times New Roman" w:hAnsi="Times New Roman" w:cs="Times New Roman"/>
          <w:sz w:val="24"/>
          <w:szCs w:val="24"/>
        </w:rPr>
        <w:t>allra kynja</w:t>
      </w:r>
      <w:r w:rsidR="00BA531E" w:rsidRPr="00DB0BEA">
        <w:rPr>
          <w:rFonts w:ascii="Times New Roman" w:hAnsi="Times New Roman" w:cs="Times New Roman"/>
          <w:sz w:val="24"/>
          <w:szCs w:val="24"/>
        </w:rPr>
        <w:t xml:space="preserve"> og hefur frumkvæði að sérstökum aðgerðum til að tryggja jafna stöðu og jafnan rétt kynjanna. Jafnréttisnefnd getur kallað eftir upplýsingum um stöðu </w:t>
      </w:r>
      <w:r w:rsidR="0048283D">
        <w:rPr>
          <w:rFonts w:ascii="Times New Roman" w:hAnsi="Times New Roman" w:cs="Times New Roman"/>
          <w:sz w:val="24"/>
          <w:szCs w:val="24"/>
        </w:rPr>
        <w:t>allra kynja</w:t>
      </w:r>
      <w:r w:rsidR="00BA531E" w:rsidRPr="00DB0BEA">
        <w:rPr>
          <w:rFonts w:ascii="Times New Roman" w:hAnsi="Times New Roman" w:cs="Times New Roman"/>
          <w:sz w:val="24"/>
          <w:szCs w:val="24"/>
        </w:rPr>
        <w:t xml:space="preserve"> innan sérstakra málaflokka frá nefndum og stofnunum sveitarfélagsins. Meti jafnréttisnefnd stöðuna svo að fengnum upplýsingum, að um mismun kynja sé að ræða skal hún gera athugasemd við sveitarstjórn eða viðkomandi forstöðumann.</w:t>
      </w:r>
    </w:p>
    <w:p w14:paraId="73A3F127" w14:textId="77777777" w:rsidR="000C3087" w:rsidRPr="00DB0BEA" w:rsidRDefault="000C3087">
      <w:pPr>
        <w:rPr>
          <w:rFonts w:ascii="Times New Roman" w:hAnsi="Times New Roman" w:cs="Times New Roman"/>
          <w:sz w:val="24"/>
          <w:szCs w:val="24"/>
        </w:rPr>
      </w:pPr>
    </w:p>
    <w:p w14:paraId="73676C56" w14:textId="77777777" w:rsidR="00622436" w:rsidRPr="00DB0BEA" w:rsidRDefault="000C3087">
      <w:pPr>
        <w:rPr>
          <w:rFonts w:ascii="Times New Roman" w:hAnsi="Times New Roman" w:cs="Times New Roman"/>
          <w:b/>
          <w:sz w:val="24"/>
          <w:szCs w:val="24"/>
        </w:rPr>
      </w:pPr>
      <w:r w:rsidRPr="00DB0BEA">
        <w:rPr>
          <w:rFonts w:ascii="Times New Roman" w:hAnsi="Times New Roman" w:cs="Times New Roman"/>
          <w:b/>
          <w:sz w:val="24"/>
          <w:szCs w:val="24"/>
        </w:rPr>
        <w:t>Nefndi</w:t>
      </w:r>
      <w:r w:rsidR="002F7828" w:rsidRPr="00DB0BEA">
        <w:rPr>
          <w:rFonts w:ascii="Times New Roman" w:hAnsi="Times New Roman" w:cs="Times New Roman"/>
          <w:b/>
          <w:sz w:val="24"/>
          <w:szCs w:val="24"/>
        </w:rPr>
        <w:t>r</w:t>
      </w:r>
      <w:r w:rsidRPr="00DB0BEA">
        <w:rPr>
          <w:rFonts w:ascii="Times New Roman" w:hAnsi="Times New Roman" w:cs="Times New Roman"/>
          <w:b/>
          <w:sz w:val="24"/>
          <w:szCs w:val="24"/>
        </w:rPr>
        <w:t xml:space="preserve"> og ráð</w:t>
      </w:r>
    </w:p>
    <w:p w14:paraId="61B41328" w14:textId="67921200" w:rsidR="00B27C3F" w:rsidRPr="00DB0BEA" w:rsidRDefault="00B27C3F" w:rsidP="00B27C3F">
      <w:pPr>
        <w:ind w:left="142" w:firstLine="0"/>
        <w:jc w:val="both"/>
        <w:rPr>
          <w:rFonts w:ascii="Times New Roman" w:hAnsi="Times New Roman" w:cs="Times New Roman"/>
          <w:sz w:val="24"/>
          <w:szCs w:val="24"/>
        </w:rPr>
      </w:pPr>
      <w:r w:rsidRPr="00DB0BEA">
        <w:rPr>
          <w:rFonts w:ascii="Times New Roman" w:hAnsi="Times New Roman" w:cs="Times New Roman"/>
          <w:sz w:val="24"/>
          <w:szCs w:val="24"/>
        </w:rPr>
        <w:t xml:space="preserve">Við skipan í nefndir, ráð og stjórnir á vegum sveitarfélagsins skal gæta þess að hlutföll kynja séu sem jöfnust og ekki </w:t>
      </w:r>
      <w:r w:rsidR="00D63EAC" w:rsidRPr="00DB0BEA">
        <w:rPr>
          <w:rFonts w:ascii="Times New Roman" w:hAnsi="Times New Roman" w:cs="Times New Roman"/>
          <w:sz w:val="24"/>
          <w:szCs w:val="24"/>
        </w:rPr>
        <w:t>lægri en</w:t>
      </w:r>
      <w:r w:rsidRPr="00DB0BEA">
        <w:rPr>
          <w:rFonts w:ascii="Times New Roman" w:hAnsi="Times New Roman" w:cs="Times New Roman"/>
          <w:sz w:val="24"/>
          <w:szCs w:val="24"/>
        </w:rPr>
        <w:t xml:space="preserve"> 40%  hjá því kyni sem hallar á þegar fleiri en 3 eiga sæti í viðkomandi nefnd. </w:t>
      </w:r>
      <w:r w:rsidR="00D63EAC" w:rsidRPr="00DB0BEA">
        <w:rPr>
          <w:rFonts w:ascii="Times New Roman" w:hAnsi="Times New Roman" w:cs="Times New Roman"/>
          <w:sz w:val="24"/>
          <w:szCs w:val="24"/>
        </w:rPr>
        <w:t xml:space="preserve">Þannig verði tryggð jöfn áhrif </w:t>
      </w:r>
      <w:r w:rsidR="0048283D">
        <w:rPr>
          <w:rFonts w:ascii="Times New Roman" w:hAnsi="Times New Roman" w:cs="Times New Roman"/>
          <w:sz w:val="24"/>
          <w:szCs w:val="24"/>
        </w:rPr>
        <w:t>allra kynja</w:t>
      </w:r>
      <w:r w:rsidR="00D63EAC" w:rsidRPr="00DB0BEA">
        <w:rPr>
          <w:rFonts w:ascii="Times New Roman" w:hAnsi="Times New Roman" w:cs="Times New Roman"/>
          <w:sz w:val="24"/>
          <w:szCs w:val="24"/>
        </w:rPr>
        <w:t xml:space="preserve"> við ákvarðanatöku og stefnumótun í sveitarfélaginu. </w:t>
      </w:r>
      <w:r w:rsidRPr="00DB0BEA">
        <w:rPr>
          <w:rFonts w:ascii="Times New Roman" w:hAnsi="Times New Roman" w:cs="Times New Roman"/>
          <w:sz w:val="24"/>
          <w:szCs w:val="24"/>
        </w:rPr>
        <w:t>Þetta gildir einnig um stjórnir opinberra hlutafélaga og fyrirtækja sem sveitarfélagið er aðaleigandi að.</w:t>
      </w:r>
      <w:r w:rsidR="005139BE">
        <w:rPr>
          <w:rFonts w:ascii="Times New Roman" w:hAnsi="Times New Roman" w:cs="Times New Roman"/>
          <w:sz w:val="24"/>
          <w:szCs w:val="24"/>
        </w:rPr>
        <w:t xml:space="preserve"> </w:t>
      </w:r>
      <w:bookmarkStart w:id="0" w:name="_Hlk25311038"/>
      <w:r w:rsidR="005139BE">
        <w:rPr>
          <w:rFonts w:ascii="Times New Roman" w:hAnsi="Times New Roman" w:cs="Times New Roman"/>
          <w:sz w:val="24"/>
          <w:szCs w:val="24"/>
        </w:rPr>
        <w:t>Komi í ljós við úttekt að hlutfall kynja í nefndum, ráðum og stjórnum sveitarfélagsins sé á svig við þessa áætlun skal sveitarstjórn vinna að því að tilnefna nýj</w:t>
      </w:r>
      <w:r w:rsidR="0017391A">
        <w:rPr>
          <w:rFonts w:ascii="Times New Roman" w:hAnsi="Times New Roman" w:cs="Times New Roman"/>
          <w:sz w:val="24"/>
          <w:szCs w:val="24"/>
        </w:rPr>
        <w:t xml:space="preserve">a fulltrúa verði því komið við. </w:t>
      </w:r>
      <w:bookmarkEnd w:id="0"/>
      <w:r w:rsidR="0017391A">
        <w:rPr>
          <w:rFonts w:ascii="Times New Roman" w:hAnsi="Times New Roman" w:cs="Times New Roman"/>
          <w:sz w:val="24"/>
          <w:szCs w:val="24"/>
        </w:rPr>
        <w:t>Heimilt er að víkja frá þessum skilyrðum</w:t>
      </w:r>
      <w:r w:rsidR="001E294A">
        <w:rPr>
          <w:rFonts w:ascii="Times New Roman" w:hAnsi="Times New Roman" w:cs="Times New Roman"/>
          <w:sz w:val="24"/>
          <w:szCs w:val="24"/>
        </w:rPr>
        <w:t xml:space="preserve"> þegar hlutlægar ástæður leiða til þess að ekki er mögulegt að tilnefna </w:t>
      </w:r>
      <w:r w:rsidR="0048283D">
        <w:rPr>
          <w:rFonts w:ascii="Times New Roman" w:hAnsi="Times New Roman" w:cs="Times New Roman"/>
          <w:sz w:val="24"/>
          <w:szCs w:val="24"/>
        </w:rPr>
        <w:t>af öllum kynjum</w:t>
      </w:r>
      <w:r w:rsidR="001E294A">
        <w:rPr>
          <w:rFonts w:ascii="Times New Roman" w:hAnsi="Times New Roman" w:cs="Times New Roman"/>
          <w:sz w:val="24"/>
          <w:szCs w:val="24"/>
        </w:rPr>
        <w:t>. Skal þá sveitarstjórn rökstyðja ástæður þess.</w:t>
      </w:r>
    </w:p>
    <w:p w14:paraId="544FBF5F" w14:textId="77777777" w:rsidR="005A207E" w:rsidRPr="00DB0BEA" w:rsidRDefault="005A207E" w:rsidP="00BB7058">
      <w:pPr>
        <w:ind w:left="142" w:firstLine="0"/>
        <w:rPr>
          <w:rFonts w:ascii="Times New Roman" w:hAnsi="Times New Roman" w:cs="Times New Roman"/>
          <w:b/>
          <w:i/>
          <w:sz w:val="24"/>
          <w:szCs w:val="24"/>
          <w:u w:val="single"/>
        </w:rPr>
      </w:pPr>
    </w:p>
    <w:tbl>
      <w:tblPr>
        <w:tblStyle w:val="TableGrid"/>
        <w:tblW w:w="0" w:type="auto"/>
        <w:tblInd w:w="714" w:type="dxa"/>
        <w:tblLook w:val="04A0" w:firstRow="1" w:lastRow="0" w:firstColumn="1" w:lastColumn="0" w:noHBand="0" w:noVBand="1"/>
      </w:tblPr>
      <w:tblGrid>
        <w:gridCol w:w="2815"/>
        <w:gridCol w:w="2793"/>
        <w:gridCol w:w="2740"/>
      </w:tblGrid>
      <w:tr w:rsidR="00C46EB8" w:rsidRPr="00DB0BEA" w14:paraId="0ECEC442" w14:textId="77777777" w:rsidTr="00C46EB8">
        <w:tc>
          <w:tcPr>
            <w:tcW w:w="3070" w:type="dxa"/>
            <w:shd w:val="clear" w:color="auto" w:fill="C6D9F1" w:themeFill="text2" w:themeFillTint="33"/>
          </w:tcPr>
          <w:p w14:paraId="126D7130" w14:textId="77777777" w:rsidR="005A207E" w:rsidRPr="00DB0BEA" w:rsidRDefault="005A207E"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0B9BF178" w14:textId="77777777" w:rsidR="005A207E" w:rsidRPr="00DB0BEA" w:rsidRDefault="005A207E"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788B3074" w14:textId="77777777" w:rsidR="005A207E" w:rsidRPr="00DB0BEA" w:rsidRDefault="005A207E"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5A207E" w:rsidRPr="00DB0BEA" w14:paraId="230ACA56" w14:textId="77777777" w:rsidTr="00C14472">
        <w:tc>
          <w:tcPr>
            <w:tcW w:w="3070" w:type="dxa"/>
          </w:tcPr>
          <w:p w14:paraId="2D4BE408" w14:textId="77777777" w:rsidR="005A207E" w:rsidRDefault="00BB7058" w:rsidP="00C14472">
            <w:pPr>
              <w:ind w:left="0" w:firstLine="0"/>
              <w:rPr>
                <w:rFonts w:ascii="Times New Roman" w:hAnsi="Times New Roman" w:cs="Times New Roman"/>
                <w:i/>
                <w:sz w:val="24"/>
                <w:szCs w:val="24"/>
              </w:rPr>
            </w:pPr>
            <w:r w:rsidRPr="00DB0BEA">
              <w:rPr>
                <w:rFonts w:ascii="Times New Roman" w:hAnsi="Times New Roman" w:cs="Times New Roman"/>
                <w:i/>
                <w:sz w:val="24"/>
                <w:szCs w:val="24"/>
              </w:rPr>
              <w:t>Gera skal úttekt að lágmarki á fjögurra ára fresti.</w:t>
            </w:r>
          </w:p>
          <w:p w14:paraId="5377C865" w14:textId="77777777" w:rsidR="00387B15" w:rsidRDefault="00387B15" w:rsidP="00C14472">
            <w:pPr>
              <w:ind w:left="0" w:firstLine="0"/>
              <w:rPr>
                <w:rFonts w:ascii="Times New Roman" w:hAnsi="Times New Roman" w:cs="Times New Roman"/>
                <w:i/>
                <w:sz w:val="24"/>
                <w:szCs w:val="24"/>
              </w:rPr>
            </w:pPr>
          </w:p>
          <w:p w14:paraId="354F9B17" w14:textId="77777777" w:rsidR="00387B15" w:rsidRDefault="00387B15" w:rsidP="00C14472">
            <w:pPr>
              <w:ind w:left="0" w:firstLine="0"/>
              <w:rPr>
                <w:rFonts w:ascii="Times New Roman" w:hAnsi="Times New Roman" w:cs="Times New Roman"/>
                <w:i/>
                <w:sz w:val="24"/>
                <w:szCs w:val="24"/>
              </w:rPr>
            </w:pPr>
            <w:bookmarkStart w:id="1" w:name="_Hlk25311001"/>
            <w:r>
              <w:rPr>
                <w:rFonts w:ascii="Times New Roman" w:hAnsi="Times New Roman" w:cs="Times New Roman"/>
                <w:i/>
                <w:sz w:val="24"/>
                <w:szCs w:val="24"/>
              </w:rPr>
              <w:lastRenderedPageBreak/>
              <w:t>Ef hlutfall kynja í nefndum, ráðum og stjórnum sveitarfélagsins uppfyllir ekki 15. gr. jafnréttislaga skal nefndarskipanin endurskoðuð.</w:t>
            </w:r>
          </w:p>
          <w:bookmarkEnd w:id="1"/>
          <w:p w14:paraId="49FD975F" w14:textId="77777777" w:rsidR="00387B15" w:rsidRPr="00DB0BEA" w:rsidRDefault="00387B15" w:rsidP="00387B15">
            <w:pPr>
              <w:ind w:left="0" w:firstLine="0"/>
              <w:jc w:val="both"/>
              <w:rPr>
                <w:rFonts w:ascii="Times New Roman" w:hAnsi="Times New Roman" w:cs="Times New Roman"/>
                <w:i/>
                <w:sz w:val="24"/>
                <w:szCs w:val="24"/>
              </w:rPr>
            </w:pPr>
          </w:p>
        </w:tc>
        <w:tc>
          <w:tcPr>
            <w:tcW w:w="3071" w:type="dxa"/>
          </w:tcPr>
          <w:p w14:paraId="20A5056F" w14:textId="77777777" w:rsidR="005A207E" w:rsidRDefault="00BB7058" w:rsidP="00C14472">
            <w:pPr>
              <w:ind w:left="0" w:firstLine="0"/>
              <w:rPr>
                <w:rFonts w:ascii="Times New Roman" w:hAnsi="Times New Roman" w:cs="Times New Roman"/>
                <w:i/>
                <w:sz w:val="24"/>
                <w:szCs w:val="24"/>
              </w:rPr>
            </w:pPr>
            <w:r w:rsidRPr="00DB0BEA">
              <w:rPr>
                <w:rFonts w:ascii="Times New Roman" w:hAnsi="Times New Roman" w:cs="Times New Roman"/>
                <w:i/>
                <w:sz w:val="24"/>
                <w:szCs w:val="24"/>
              </w:rPr>
              <w:lastRenderedPageBreak/>
              <w:t>Jafnréttisnefnd</w:t>
            </w:r>
          </w:p>
          <w:p w14:paraId="75CE38B4" w14:textId="77777777" w:rsidR="0044304E" w:rsidRDefault="0044304E" w:rsidP="00C14472">
            <w:pPr>
              <w:ind w:left="0" w:firstLine="0"/>
              <w:rPr>
                <w:rFonts w:ascii="Times New Roman" w:hAnsi="Times New Roman" w:cs="Times New Roman"/>
                <w:i/>
                <w:sz w:val="24"/>
                <w:szCs w:val="24"/>
              </w:rPr>
            </w:pPr>
          </w:p>
          <w:p w14:paraId="0362593D" w14:textId="77777777" w:rsidR="00387B15" w:rsidRDefault="00387B15" w:rsidP="00C14472">
            <w:pPr>
              <w:ind w:left="0" w:firstLine="0"/>
              <w:rPr>
                <w:rFonts w:ascii="Times New Roman" w:hAnsi="Times New Roman" w:cs="Times New Roman"/>
                <w:i/>
                <w:sz w:val="24"/>
                <w:szCs w:val="24"/>
              </w:rPr>
            </w:pPr>
          </w:p>
          <w:p w14:paraId="6F0638C6" w14:textId="77777777" w:rsidR="00387B15" w:rsidRDefault="00387B15" w:rsidP="00C14472">
            <w:pPr>
              <w:ind w:left="0" w:firstLine="0"/>
              <w:rPr>
                <w:rFonts w:ascii="Times New Roman" w:hAnsi="Times New Roman" w:cs="Times New Roman"/>
                <w:i/>
                <w:sz w:val="24"/>
                <w:szCs w:val="24"/>
              </w:rPr>
            </w:pPr>
          </w:p>
          <w:p w14:paraId="5CBCE5EF" w14:textId="77777777" w:rsidR="00387B15" w:rsidRDefault="00387B15" w:rsidP="00C14472">
            <w:pPr>
              <w:ind w:left="0" w:firstLine="0"/>
              <w:rPr>
                <w:rFonts w:ascii="Times New Roman" w:hAnsi="Times New Roman" w:cs="Times New Roman"/>
                <w:i/>
                <w:sz w:val="24"/>
                <w:szCs w:val="24"/>
              </w:rPr>
            </w:pPr>
            <w:r>
              <w:rPr>
                <w:rFonts w:ascii="Times New Roman" w:hAnsi="Times New Roman" w:cs="Times New Roman"/>
                <w:i/>
                <w:sz w:val="24"/>
                <w:szCs w:val="24"/>
              </w:rPr>
              <w:lastRenderedPageBreak/>
              <w:t>Sveitarstjórn</w:t>
            </w:r>
          </w:p>
          <w:p w14:paraId="55CDF224" w14:textId="77777777" w:rsidR="00387B15" w:rsidRPr="00DB0BEA" w:rsidRDefault="00387B15" w:rsidP="00C06322">
            <w:pPr>
              <w:ind w:left="0" w:firstLine="0"/>
              <w:jc w:val="both"/>
              <w:rPr>
                <w:rFonts w:ascii="Times New Roman" w:hAnsi="Times New Roman" w:cs="Times New Roman"/>
                <w:i/>
                <w:sz w:val="24"/>
                <w:szCs w:val="24"/>
              </w:rPr>
            </w:pPr>
          </w:p>
        </w:tc>
        <w:tc>
          <w:tcPr>
            <w:tcW w:w="3071" w:type="dxa"/>
          </w:tcPr>
          <w:p w14:paraId="0E9B5DD7" w14:textId="77777777" w:rsidR="0048283D" w:rsidRDefault="0048283D" w:rsidP="00C14472">
            <w:pPr>
              <w:ind w:left="0" w:firstLine="0"/>
              <w:rPr>
                <w:rFonts w:ascii="Times New Roman" w:hAnsi="Times New Roman" w:cs="Times New Roman"/>
                <w:i/>
                <w:sz w:val="24"/>
                <w:szCs w:val="24"/>
              </w:rPr>
            </w:pPr>
            <w:r>
              <w:rPr>
                <w:rFonts w:ascii="Times New Roman" w:hAnsi="Times New Roman" w:cs="Times New Roman"/>
                <w:i/>
                <w:sz w:val="24"/>
                <w:szCs w:val="24"/>
              </w:rPr>
              <w:lastRenderedPageBreak/>
              <w:t>Næsta könnun</w:t>
            </w:r>
          </w:p>
          <w:p w14:paraId="58CF33A1" w14:textId="3EC0D28C" w:rsidR="005A207E" w:rsidRDefault="00B0732D" w:rsidP="00C14472">
            <w:pPr>
              <w:ind w:left="0" w:firstLine="0"/>
              <w:rPr>
                <w:rFonts w:ascii="Times New Roman" w:hAnsi="Times New Roman" w:cs="Times New Roman"/>
                <w:i/>
                <w:sz w:val="24"/>
                <w:szCs w:val="24"/>
              </w:rPr>
            </w:pPr>
            <w:r>
              <w:rPr>
                <w:rFonts w:ascii="Times New Roman" w:hAnsi="Times New Roman" w:cs="Times New Roman"/>
                <w:i/>
                <w:sz w:val="24"/>
                <w:szCs w:val="24"/>
              </w:rPr>
              <w:t xml:space="preserve"> 01.05</w:t>
            </w:r>
            <w:r w:rsidR="001E294A">
              <w:rPr>
                <w:rFonts w:ascii="Times New Roman" w:hAnsi="Times New Roman" w:cs="Times New Roman"/>
                <w:i/>
                <w:sz w:val="24"/>
                <w:szCs w:val="24"/>
              </w:rPr>
              <w:t>.2</w:t>
            </w:r>
            <w:r w:rsidR="00C06322">
              <w:rPr>
                <w:rFonts w:ascii="Times New Roman" w:hAnsi="Times New Roman" w:cs="Times New Roman"/>
                <w:i/>
                <w:sz w:val="24"/>
                <w:szCs w:val="24"/>
              </w:rPr>
              <w:t>02</w:t>
            </w:r>
            <w:r w:rsidR="0048283D">
              <w:rPr>
                <w:rFonts w:ascii="Times New Roman" w:hAnsi="Times New Roman" w:cs="Times New Roman"/>
                <w:i/>
                <w:sz w:val="24"/>
                <w:szCs w:val="24"/>
              </w:rPr>
              <w:t>4</w:t>
            </w:r>
          </w:p>
          <w:p w14:paraId="1FFC9E8D" w14:textId="77777777" w:rsidR="00387B15" w:rsidRDefault="00387B15" w:rsidP="00C14472">
            <w:pPr>
              <w:ind w:left="0" w:firstLine="0"/>
              <w:rPr>
                <w:rFonts w:ascii="Times New Roman" w:hAnsi="Times New Roman" w:cs="Times New Roman"/>
                <w:i/>
                <w:sz w:val="24"/>
                <w:szCs w:val="24"/>
              </w:rPr>
            </w:pPr>
          </w:p>
          <w:p w14:paraId="395B52C0" w14:textId="77777777" w:rsidR="00387B15" w:rsidRDefault="00387B15" w:rsidP="00C14472">
            <w:pPr>
              <w:ind w:left="0" w:firstLine="0"/>
              <w:rPr>
                <w:rFonts w:ascii="Times New Roman" w:hAnsi="Times New Roman" w:cs="Times New Roman"/>
                <w:i/>
                <w:sz w:val="24"/>
                <w:szCs w:val="24"/>
              </w:rPr>
            </w:pPr>
          </w:p>
          <w:p w14:paraId="7F826D2F" w14:textId="77777777" w:rsidR="00387B15" w:rsidRDefault="00387B15" w:rsidP="00C14472">
            <w:pPr>
              <w:ind w:left="0" w:firstLine="0"/>
              <w:rPr>
                <w:rFonts w:ascii="Times New Roman" w:hAnsi="Times New Roman" w:cs="Times New Roman"/>
                <w:i/>
                <w:sz w:val="24"/>
                <w:szCs w:val="24"/>
              </w:rPr>
            </w:pPr>
          </w:p>
          <w:p w14:paraId="49A39152" w14:textId="77777777" w:rsidR="00387B15" w:rsidRPr="00DB0BEA" w:rsidRDefault="00387B15" w:rsidP="00C14472">
            <w:pPr>
              <w:ind w:left="0" w:firstLine="0"/>
              <w:rPr>
                <w:rFonts w:ascii="Times New Roman" w:hAnsi="Times New Roman" w:cs="Times New Roman"/>
                <w:i/>
                <w:sz w:val="24"/>
                <w:szCs w:val="24"/>
              </w:rPr>
            </w:pPr>
          </w:p>
        </w:tc>
      </w:tr>
    </w:tbl>
    <w:p w14:paraId="735D7977" w14:textId="24FD1203" w:rsidR="00F33B6C" w:rsidRPr="00DB0BEA" w:rsidRDefault="00F33B6C" w:rsidP="00F33B6C">
      <w:pPr>
        <w:ind w:left="0" w:firstLine="0"/>
        <w:jc w:val="both"/>
        <w:rPr>
          <w:rFonts w:ascii="Times New Roman" w:hAnsi="Times New Roman" w:cs="Times New Roman"/>
          <w:sz w:val="24"/>
          <w:szCs w:val="24"/>
        </w:rPr>
      </w:pPr>
    </w:p>
    <w:p w14:paraId="6409C5C9" w14:textId="77777777" w:rsidR="00D71363" w:rsidRPr="00D71363" w:rsidRDefault="00D71363" w:rsidP="00D71363">
      <w:pPr>
        <w:ind w:left="0" w:firstLine="0"/>
        <w:rPr>
          <w:rFonts w:ascii="Times New Roman" w:hAnsi="Times New Roman" w:cs="Times New Roman"/>
          <w:b/>
          <w:sz w:val="24"/>
          <w:szCs w:val="24"/>
        </w:rPr>
      </w:pPr>
      <w:r w:rsidRPr="00D71363">
        <w:rPr>
          <w:rFonts w:ascii="Times New Roman" w:hAnsi="Times New Roman" w:cs="Times New Roman"/>
          <w:b/>
          <w:sz w:val="24"/>
          <w:szCs w:val="24"/>
        </w:rPr>
        <w:t>Kynjasamþætting</w:t>
      </w:r>
    </w:p>
    <w:p w14:paraId="65F59E16" w14:textId="61F8E60A" w:rsidR="00D71363" w:rsidRDefault="00D71363" w:rsidP="00D71363">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Sjónarmiða kynjasamþættingar skv. </w:t>
      </w:r>
      <w:r w:rsidR="00C06322">
        <w:rPr>
          <w:rFonts w:ascii="Times New Roman" w:hAnsi="Times New Roman" w:cs="Times New Roman"/>
          <w:sz w:val="24"/>
          <w:szCs w:val="24"/>
        </w:rPr>
        <w:t>2</w:t>
      </w:r>
      <w:r>
        <w:rPr>
          <w:rFonts w:ascii="Times New Roman" w:hAnsi="Times New Roman" w:cs="Times New Roman"/>
          <w:sz w:val="24"/>
          <w:szCs w:val="24"/>
        </w:rPr>
        <w:t xml:space="preserve">. gr. nr. 10/2008 skal gætt við alla stefnumótun og áætlanagerð sveitarfélagsins. Hið sama gildir um alla ákvarðanatöku innan sveitarfélagsins. Með því er átt að jafnrétti sé ekki nálgast sem sértækt viðfangsefni, sem höfði eingöngu til kvenna, heldur sem réttlætismál fyrir </w:t>
      </w:r>
      <w:r w:rsidR="0048283D">
        <w:rPr>
          <w:rFonts w:ascii="Times New Roman" w:hAnsi="Times New Roman" w:cs="Times New Roman"/>
          <w:sz w:val="24"/>
          <w:szCs w:val="24"/>
        </w:rPr>
        <w:t>öll</w:t>
      </w:r>
      <w:r>
        <w:rPr>
          <w:rFonts w:ascii="Times New Roman" w:hAnsi="Times New Roman" w:cs="Times New Roman"/>
          <w:sz w:val="24"/>
          <w:szCs w:val="24"/>
        </w:rPr>
        <w:t xml:space="preserve"> kyn.</w:t>
      </w:r>
    </w:p>
    <w:p w14:paraId="1ABEABAE" w14:textId="77777777" w:rsidR="00D71363" w:rsidRPr="00C74D80" w:rsidRDefault="00D71363" w:rsidP="00D71363">
      <w:pPr>
        <w:ind w:left="0" w:firstLine="0"/>
        <w:jc w:val="both"/>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853"/>
        <w:gridCol w:w="2754"/>
        <w:gridCol w:w="2741"/>
      </w:tblGrid>
      <w:tr w:rsidR="00D71363" w:rsidRPr="00DB0BEA" w14:paraId="7E4CB669" w14:textId="77777777" w:rsidTr="00686A56">
        <w:tc>
          <w:tcPr>
            <w:tcW w:w="3070" w:type="dxa"/>
            <w:shd w:val="clear" w:color="auto" w:fill="C6D9F1" w:themeFill="text2" w:themeFillTint="33"/>
          </w:tcPr>
          <w:p w14:paraId="1FCCE517" w14:textId="77777777" w:rsidR="00D71363" w:rsidRPr="00DB0BEA" w:rsidRDefault="00D71363"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127D63A6" w14:textId="77777777" w:rsidR="00D71363" w:rsidRPr="00DB0BEA" w:rsidRDefault="00D71363"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6F6484EF" w14:textId="77777777" w:rsidR="00D71363" w:rsidRPr="00DB0BEA" w:rsidRDefault="00D71363"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D71363" w:rsidRPr="00DB0BEA" w14:paraId="134574C6" w14:textId="77777777" w:rsidTr="00686A56">
        <w:tc>
          <w:tcPr>
            <w:tcW w:w="3070" w:type="dxa"/>
          </w:tcPr>
          <w:p w14:paraId="5FFEE86F" w14:textId="77777777" w:rsidR="00D71363" w:rsidRDefault="00D71363" w:rsidP="00686A56">
            <w:pPr>
              <w:ind w:left="0" w:firstLine="0"/>
              <w:rPr>
                <w:rFonts w:ascii="Times New Roman" w:hAnsi="Times New Roman" w:cs="Times New Roman"/>
                <w:i/>
                <w:sz w:val="24"/>
                <w:szCs w:val="24"/>
              </w:rPr>
            </w:pPr>
            <w:r>
              <w:rPr>
                <w:rFonts w:ascii="Times New Roman" w:hAnsi="Times New Roman" w:cs="Times New Roman"/>
                <w:i/>
                <w:sz w:val="24"/>
                <w:szCs w:val="24"/>
              </w:rPr>
              <w:t>Við alla ákvarðanatöku</w:t>
            </w:r>
          </w:p>
          <w:p w14:paraId="5127C1C4" w14:textId="77777777" w:rsidR="00A8613D" w:rsidRPr="00DB0BEA" w:rsidRDefault="00A8613D" w:rsidP="00686A56">
            <w:pPr>
              <w:ind w:left="0" w:firstLine="0"/>
              <w:rPr>
                <w:rFonts w:ascii="Times New Roman" w:hAnsi="Times New Roman" w:cs="Times New Roman"/>
                <w:i/>
                <w:sz w:val="24"/>
                <w:szCs w:val="24"/>
              </w:rPr>
            </w:pPr>
            <w:r>
              <w:rPr>
                <w:rFonts w:ascii="Times New Roman" w:hAnsi="Times New Roman" w:cs="Times New Roman"/>
                <w:i/>
                <w:sz w:val="24"/>
                <w:szCs w:val="24"/>
              </w:rPr>
              <w:t>Fræðsla til stjórnenda um kynjasamþættingu</w:t>
            </w:r>
          </w:p>
        </w:tc>
        <w:tc>
          <w:tcPr>
            <w:tcW w:w="3071" w:type="dxa"/>
          </w:tcPr>
          <w:p w14:paraId="7D415511" w14:textId="77777777" w:rsidR="00D71363" w:rsidRDefault="00D71363" w:rsidP="00686A56">
            <w:pPr>
              <w:ind w:left="0" w:firstLine="0"/>
              <w:rPr>
                <w:rFonts w:ascii="Times New Roman" w:hAnsi="Times New Roman" w:cs="Times New Roman"/>
                <w:i/>
                <w:sz w:val="24"/>
                <w:szCs w:val="24"/>
              </w:rPr>
            </w:pPr>
            <w:r>
              <w:rPr>
                <w:rFonts w:ascii="Times New Roman" w:hAnsi="Times New Roman" w:cs="Times New Roman"/>
                <w:i/>
                <w:sz w:val="24"/>
                <w:szCs w:val="24"/>
              </w:rPr>
              <w:t>Sveitarstjórn og sveitarstjóri</w:t>
            </w:r>
          </w:p>
          <w:p w14:paraId="4E695759" w14:textId="77777777" w:rsidR="00D71363" w:rsidRPr="00DB0BEA" w:rsidRDefault="00D71363" w:rsidP="00686A56">
            <w:pPr>
              <w:ind w:left="0" w:firstLine="0"/>
              <w:rPr>
                <w:rFonts w:ascii="Times New Roman" w:hAnsi="Times New Roman" w:cs="Times New Roman"/>
                <w:i/>
                <w:sz w:val="24"/>
                <w:szCs w:val="24"/>
              </w:rPr>
            </w:pPr>
          </w:p>
        </w:tc>
        <w:tc>
          <w:tcPr>
            <w:tcW w:w="3071" w:type="dxa"/>
          </w:tcPr>
          <w:p w14:paraId="3A48DA02" w14:textId="5C301885" w:rsidR="00D71363" w:rsidRDefault="0048283D" w:rsidP="00686A56">
            <w:pPr>
              <w:ind w:left="0" w:firstLine="0"/>
              <w:rPr>
                <w:rFonts w:ascii="Times New Roman" w:hAnsi="Times New Roman" w:cs="Times New Roman"/>
                <w:i/>
                <w:sz w:val="24"/>
                <w:szCs w:val="24"/>
              </w:rPr>
            </w:pPr>
            <w:r>
              <w:rPr>
                <w:rFonts w:ascii="Times New Roman" w:hAnsi="Times New Roman" w:cs="Times New Roman"/>
                <w:i/>
                <w:sz w:val="24"/>
                <w:szCs w:val="24"/>
              </w:rPr>
              <w:t>2022-2026</w:t>
            </w:r>
          </w:p>
          <w:p w14:paraId="17E04F0D" w14:textId="26545C77" w:rsidR="000C1FC6" w:rsidRPr="00DB0BEA" w:rsidRDefault="000C1FC6" w:rsidP="00C06322">
            <w:pPr>
              <w:ind w:left="0" w:firstLine="0"/>
              <w:rPr>
                <w:rFonts w:ascii="Times New Roman" w:hAnsi="Times New Roman" w:cs="Times New Roman"/>
                <w:i/>
                <w:sz w:val="24"/>
                <w:szCs w:val="24"/>
              </w:rPr>
            </w:pPr>
          </w:p>
        </w:tc>
      </w:tr>
    </w:tbl>
    <w:p w14:paraId="6A9D9B9B" w14:textId="77777777" w:rsidR="00D71363" w:rsidRDefault="00D71363" w:rsidP="000C3087">
      <w:pPr>
        <w:rPr>
          <w:rFonts w:ascii="Times New Roman" w:hAnsi="Times New Roman" w:cs="Times New Roman"/>
          <w:b/>
          <w:sz w:val="24"/>
          <w:szCs w:val="24"/>
        </w:rPr>
      </w:pPr>
    </w:p>
    <w:p w14:paraId="3B6774AE" w14:textId="77777777" w:rsidR="00622436" w:rsidRPr="00DB0BEA" w:rsidRDefault="00D63EAC" w:rsidP="000C3087">
      <w:pPr>
        <w:rPr>
          <w:rFonts w:ascii="Times New Roman" w:hAnsi="Times New Roman" w:cs="Times New Roman"/>
          <w:b/>
          <w:sz w:val="24"/>
          <w:szCs w:val="24"/>
        </w:rPr>
      </w:pPr>
      <w:r w:rsidRPr="00DB0BEA">
        <w:rPr>
          <w:rFonts w:ascii="Times New Roman" w:hAnsi="Times New Roman" w:cs="Times New Roman"/>
          <w:b/>
          <w:sz w:val="24"/>
          <w:szCs w:val="24"/>
        </w:rPr>
        <w:t>Launajafnrétti</w:t>
      </w:r>
      <w:r w:rsidR="002E7C31">
        <w:rPr>
          <w:rFonts w:ascii="Times New Roman" w:hAnsi="Times New Roman" w:cs="Times New Roman"/>
          <w:b/>
          <w:sz w:val="24"/>
          <w:szCs w:val="24"/>
        </w:rPr>
        <w:t xml:space="preserve"> - jafnlaunastefna</w:t>
      </w:r>
    </w:p>
    <w:p w14:paraId="0AF41C38" w14:textId="774AF2F0" w:rsidR="005A207E" w:rsidRPr="00DB0BEA" w:rsidRDefault="00BB7058" w:rsidP="00C46EB8">
      <w:pPr>
        <w:ind w:left="142" w:firstLine="0"/>
        <w:jc w:val="both"/>
        <w:rPr>
          <w:rFonts w:ascii="Times New Roman" w:hAnsi="Times New Roman" w:cs="Times New Roman"/>
          <w:sz w:val="24"/>
          <w:szCs w:val="24"/>
        </w:rPr>
      </w:pPr>
      <w:r w:rsidRPr="00DB0BEA">
        <w:rPr>
          <w:rFonts w:ascii="Times New Roman" w:hAnsi="Times New Roman" w:cs="Times New Roman"/>
          <w:sz w:val="24"/>
          <w:szCs w:val="24"/>
        </w:rPr>
        <w:t>Við ákvörðun launa og annarra starfskjara, úthlutun verkefna, tilfærslur í störfum og uppsagnir skal þess gætt að mismuna ekki eftir kynferði</w:t>
      </w:r>
      <w:r w:rsidR="00C06C2D" w:rsidRPr="00DB0BEA">
        <w:rPr>
          <w:rFonts w:ascii="Times New Roman" w:hAnsi="Times New Roman" w:cs="Times New Roman"/>
          <w:sz w:val="24"/>
          <w:szCs w:val="24"/>
        </w:rPr>
        <w:t xml:space="preserve"> 19. gr. laga nr. 10/2008. </w:t>
      </w:r>
      <w:r w:rsidRPr="00DB0BEA">
        <w:rPr>
          <w:rFonts w:ascii="Times New Roman" w:hAnsi="Times New Roman" w:cs="Times New Roman"/>
          <w:sz w:val="24"/>
          <w:szCs w:val="24"/>
        </w:rPr>
        <w:t xml:space="preserve">Gæta skal þess að </w:t>
      </w:r>
      <w:r w:rsidR="0048283D">
        <w:rPr>
          <w:rFonts w:ascii="Times New Roman" w:hAnsi="Times New Roman" w:cs="Times New Roman"/>
          <w:sz w:val="24"/>
          <w:szCs w:val="24"/>
        </w:rPr>
        <w:t>fólk af öllum kynjum</w:t>
      </w:r>
      <w:r w:rsidRPr="00DB0BEA">
        <w:rPr>
          <w:rFonts w:ascii="Times New Roman" w:hAnsi="Times New Roman" w:cs="Times New Roman"/>
          <w:sz w:val="24"/>
          <w:szCs w:val="24"/>
        </w:rPr>
        <w:t xml:space="preserve"> njóti að öllu leyti sambærilegra kjara og starfsaðstæðna</w:t>
      </w:r>
      <w:r w:rsidR="0048283D">
        <w:rPr>
          <w:rFonts w:ascii="Times New Roman" w:hAnsi="Times New Roman" w:cs="Times New Roman"/>
          <w:sz w:val="24"/>
          <w:szCs w:val="24"/>
        </w:rPr>
        <w:t xml:space="preserve">. </w:t>
      </w:r>
      <w:r w:rsidR="002E7C31">
        <w:rPr>
          <w:rFonts w:ascii="Times New Roman" w:hAnsi="Times New Roman" w:cs="Times New Roman"/>
          <w:sz w:val="24"/>
          <w:szCs w:val="24"/>
        </w:rPr>
        <w:t xml:space="preserve">Markmið sveitarfélagsins er að ekki mælist kynbundin launamunur, en að munurinn sé þó aldrei meir en </w:t>
      </w:r>
      <w:r w:rsidR="002E7C31" w:rsidRPr="002E7C31">
        <w:rPr>
          <w:rFonts w:ascii="Times New Roman" w:hAnsi="Times New Roman" w:cs="Times New Roman"/>
          <w:sz w:val="24"/>
          <w:szCs w:val="24"/>
          <w:u w:val="single"/>
        </w:rPr>
        <w:t>+</w:t>
      </w:r>
      <w:r w:rsidR="002E7C31">
        <w:rPr>
          <w:rFonts w:ascii="Times New Roman" w:hAnsi="Times New Roman" w:cs="Times New Roman"/>
          <w:sz w:val="24"/>
          <w:szCs w:val="24"/>
        </w:rPr>
        <w:t xml:space="preserve"> 2%. </w:t>
      </w:r>
      <w:r w:rsidRPr="00DB0BEA">
        <w:rPr>
          <w:rFonts w:ascii="Times New Roman" w:hAnsi="Times New Roman" w:cs="Times New Roman"/>
          <w:sz w:val="24"/>
          <w:szCs w:val="24"/>
        </w:rPr>
        <w:t xml:space="preserve">Sveitarfélagið vinni </w:t>
      </w:r>
      <w:r w:rsidR="00E360EA" w:rsidRPr="00DB0BEA">
        <w:rPr>
          <w:rFonts w:ascii="Times New Roman" w:hAnsi="Times New Roman" w:cs="Times New Roman"/>
          <w:sz w:val="24"/>
          <w:szCs w:val="24"/>
        </w:rPr>
        <w:t xml:space="preserve">að því að jafna stöðu kynjanna og stuðlað að því að störf flokkist ekki í sérstök </w:t>
      </w:r>
      <w:r w:rsidR="0048283D">
        <w:rPr>
          <w:rFonts w:ascii="Times New Roman" w:hAnsi="Times New Roman" w:cs="Times New Roman"/>
          <w:sz w:val="24"/>
          <w:szCs w:val="24"/>
        </w:rPr>
        <w:t>kynjastörf</w:t>
      </w:r>
      <w:r w:rsidR="002E7C31">
        <w:rPr>
          <w:rFonts w:ascii="Times New Roman" w:hAnsi="Times New Roman" w:cs="Times New Roman"/>
          <w:sz w:val="24"/>
          <w:szCs w:val="24"/>
        </w:rPr>
        <w:t>. Sveitarfélagið skuldbindur sig til að fylgja öllum lagalegum kröfum og öðrum kröfum sem gilda um þá meginreglu að greiða skuli sömu laun fyrir jafnverðmæt störf. Ef upp kemur óútskýrður kynbundin launamunur skuldbindur sveitarfélagið sig til að bregðast við með stöðugum umbótum og eftirliti.</w:t>
      </w:r>
    </w:p>
    <w:p w14:paraId="51EB3E20" w14:textId="77777777" w:rsidR="00BB7058" w:rsidRPr="00DB0BEA" w:rsidRDefault="00BB7058" w:rsidP="000C3087">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712"/>
        <w:gridCol w:w="2683"/>
        <w:gridCol w:w="2953"/>
      </w:tblGrid>
      <w:tr w:rsidR="00E360EA" w:rsidRPr="00DB0BEA" w14:paraId="45303B19" w14:textId="77777777" w:rsidTr="00B754DC">
        <w:tc>
          <w:tcPr>
            <w:tcW w:w="3070" w:type="dxa"/>
            <w:shd w:val="clear" w:color="auto" w:fill="C6D9F1" w:themeFill="text2" w:themeFillTint="33"/>
          </w:tcPr>
          <w:p w14:paraId="48BB2ACA" w14:textId="77777777" w:rsidR="00BB7058" w:rsidRPr="00DB0BEA" w:rsidRDefault="00E360EA" w:rsidP="000C3087">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4F656711" w14:textId="77777777" w:rsidR="00BB7058" w:rsidRPr="00DB0BEA" w:rsidRDefault="00E360EA" w:rsidP="000C3087">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002FCF4C" w14:textId="77777777" w:rsidR="00BB7058" w:rsidRPr="00DB0BEA" w:rsidRDefault="00E360EA" w:rsidP="000C3087">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E360EA" w:rsidRPr="00DB0BEA" w14:paraId="6F76CDDD" w14:textId="77777777" w:rsidTr="00BB7058">
        <w:tc>
          <w:tcPr>
            <w:tcW w:w="3070" w:type="dxa"/>
          </w:tcPr>
          <w:p w14:paraId="66581987" w14:textId="77777777" w:rsidR="00BB7058" w:rsidRPr="00DB0BEA" w:rsidRDefault="00EF6F91" w:rsidP="00EF6F91">
            <w:pPr>
              <w:ind w:left="0" w:firstLine="0"/>
              <w:rPr>
                <w:rFonts w:ascii="Times New Roman" w:hAnsi="Times New Roman" w:cs="Times New Roman"/>
                <w:sz w:val="24"/>
                <w:szCs w:val="24"/>
              </w:rPr>
            </w:pPr>
            <w:r>
              <w:rPr>
                <w:rFonts w:ascii="Times New Roman" w:hAnsi="Times New Roman" w:cs="Times New Roman"/>
                <w:sz w:val="24"/>
                <w:szCs w:val="24"/>
              </w:rPr>
              <w:t>Greina árlegan launamun</w:t>
            </w:r>
            <w:r w:rsidR="00E360EA" w:rsidRPr="00DB0BEA">
              <w:rPr>
                <w:rFonts w:ascii="Times New Roman" w:hAnsi="Times New Roman" w:cs="Times New Roman"/>
                <w:sz w:val="24"/>
                <w:szCs w:val="24"/>
              </w:rPr>
              <w:t xml:space="preserve"> </w:t>
            </w:r>
          </w:p>
        </w:tc>
        <w:tc>
          <w:tcPr>
            <w:tcW w:w="3071" w:type="dxa"/>
          </w:tcPr>
          <w:p w14:paraId="5CD84A66" w14:textId="77777777" w:rsidR="00BB7058" w:rsidRPr="00DB0BEA" w:rsidRDefault="00E360EA" w:rsidP="00EF6F91">
            <w:pPr>
              <w:ind w:left="0" w:firstLine="0"/>
              <w:rPr>
                <w:rFonts w:ascii="Times New Roman" w:hAnsi="Times New Roman" w:cs="Times New Roman"/>
                <w:sz w:val="24"/>
                <w:szCs w:val="24"/>
              </w:rPr>
            </w:pPr>
            <w:r w:rsidRPr="00DB0BEA">
              <w:rPr>
                <w:rFonts w:ascii="Times New Roman" w:hAnsi="Times New Roman" w:cs="Times New Roman"/>
                <w:sz w:val="24"/>
                <w:szCs w:val="24"/>
              </w:rPr>
              <w:t>Sveitarstjóri</w:t>
            </w:r>
          </w:p>
        </w:tc>
        <w:tc>
          <w:tcPr>
            <w:tcW w:w="3071" w:type="dxa"/>
          </w:tcPr>
          <w:p w14:paraId="70AB1CA5" w14:textId="628F2EE6" w:rsidR="00BB7058" w:rsidRPr="00DB0BEA" w:rsidRDefault="0048283D" w:rsidP="000C3087">
            <w:pPr>
              <w:ind w:left="0" w:firstLine="0"/>
              <w:rPr>
                <w:rFonts w:ascii="Times New Roman" w:hAnsi="Times New Roman" w:cs="Times New Roman"/>
                <w:sz w:val="24"/>
                <w:szCs w:val="24"/>
              </w:rPr>
            </w:pPr>
            <w:r>
              <w:rPr>
                <w:rFonts w:ascii="Times New Roman" w:hAnsi="Times New Roman" w:cs="Times New Roman"/>
                <w:sz w:val="24"/>
                <w:szCs w:val="24"/>
              </w:rPr>
              <w:t>I kjölfari af úttekt á jafnlaunastjórnunarkerfi</w:t>
            </w:r>
          </w:p>
        </w:tc>
      </w:tr>
      <w:tr w:rsidR="002E7C31" w:rsidRPr="00DB0BEA" w14:paraId="54213C98" w14:textId="77777777" w:rsidTr="00BB7058">
        <w:tc>
          <w:tcPr>
            <w:tcW w:w="3070" w:type="dxa"/>
          </w:tcPr>
          <w:p w14:paraId="3BC49517" w14:textId="77777777" w:rsidR="002E7C31" w:rsidRPr="00DB0BEA" w:rsidRDefault="00EF6F91" w:rsidP="00EF6F91">
            <w:pPr>
              <w:ind w:left="0" w:firstLine="0"/>
              <w:rPr>
                <w:rFonts w:ascii="Times New Roman" w:hAnsi="Times New Roman" w:cs="Times New Roman"/>
                <w:sz w:val="24"/>
                <w:szCs w:val="24"/>
              </w:rPr>
            </w:pPr>
            <w:r w:rsidRPr="00DB0BEA">
              <w:rPr>
                <w:rFonts w:ascii="Times New Roman" w:hAnsi="Times New Roman" w:cs="Times New Roman"/>
                <w:sz w:val="24"/>
                <w:szCs w:val="24"/>
              </w:rPr>
              <w:t xml:space="preserve">Leiðrétta laun ef </w:t>
            </w:r>
            <w:r>
              <w:rPr>
                <w:rFonts w:ascii="Times New Roman" w:hAnsi="Times New Roman" w:cs="Times New Roman"/>
                <w:sz w:val="24"/>
                <w:szCs w:val="24"/>
              </w:rPr>
              <w:t xml:space="preserve">í ljós kemur </w:t>
            </w:r>
            <w:r w:rsidRPr="00DB0BEA">
              <w:rPr>
                <w:rFonts w:ascii="Times New Roman" w:hAnsi="Times New Roman" w:cs="Times New Roman"/>
                <w:sz w:val="24"/>
                <w:szCs w:val="24"/>
              </w:rPr>
              <w:t xml:space="preserve">óútskýranlegur </w:t>
            </w:r>
            <w:r>
              <w:rPr>
                <w:rFonts w:ascii="Times New Roman" w:hAnsi="Times New Roman" w:cs="Times New Roman"/>
                <w:sz w:val="24"/>
                <w:szCs w:val="24"/>
              </w:rPr>
              <w:t>launamunur</w:t>
            </w:r>
          </w:p>
        </w:tc>
        <w:tc>
          <w:tcPr>
            <w:tcW w:w="3071" w:type="dxa"/>
          </w:tcPr>
          <w:p w14:paraId="7F986C4B" w14:textId="77777777" w:rsidR="002E7C31" w:rsidRPr="00DB0BEA" w:rsidRDefault="00EF6F91" w:rsidP="000C3087">
            <w:pPr>
              <w:ind w:left="0" w:firstLine="0"/>
              <w:rPr>
                <w:rFonts w:ascii="Times New Roman" w:hAnsi="Times New Roman" w:cs="Times New Roman"/>
                <w:sz w:val="24"/>
                <w:szCs w:val="24"/>
              </w:rPr>
            </w:pPr>
            <w:r>
              <w:rPr>
                <w:rFonts w:ascii="Times New Roman" w:hAnsi="Times New Roman" w:cs="Times New Roman"/>
                <w:sz w:val="24"/>
                <w:szCs w:val="24"/>
              </w:rPr>
              <w:t>Sveitarstjóri</w:t>
            </w:r>
          </w:p>
        </w:tc>
        <w:tc>
          <w:tcPr>
            <w:tcW w:w="3071" w:type="dxa"/>
          </w:tcPr>
          <w:p w14:paraId="157F6A64" w14:textId="1DBDF8F2" w:rsidR="002E7C31" w:rsidRPr="00DB0BEA" w:rsidRDefault="005E6D83" w:rsidP="000C3087">
            <w:pPr>
              <w:ind w:left="0" w:firstLine="0"/>
              <w:rPr>
                <w:rFonts w:ascii="Times New Roman" w:hAnsi="Times New Roman" w:cs="Times New Roman"/>
                <w:sz w:val="24"/>
                <w:szCs w:val="24"/>
              </w:rPr>
            </w:pPr>
            <w:r>
              <w:rPr>
                <w:rFonts w:ascii="Times New Roman" w:hAnsi="Times New Roman" w:cs="Times New Roman"/>
                <w:sz w:val="24"/>
                <w:szCs w:val="24"/>
              </w:rPr>
              <w:t>Eftir launagreiningu vegna jafnlaunastjórnunarkerfis</w:t>
            </w:r>
          </w:p>
        </w:tc>
      </w:tr>
      <w:tr w:rsidR="002E7C31" w:rsidRPr="00DB0BEA" w14:paraId="55B0FF03" w14:textId="77777777" w:rsidTr="00BB7058">
        <w:tc>
          <w:tcPr>
            <w:tcW w:w="3070" w:type="dxa"/>
          </w:tcPr>
          <w:p w14:paraId="1A1E6AE3" w14:textId="77777777" w:rsidR="002E7C31" w:rsidRPr="00DB0BEA" w:rsidRDefault="00EF6F91" w:rsidP="00EF6F91">
            <w:pPr>
              <w:tabs>
                <w:tab w:val="left" w:pos="555"/>
                <w:tab w:val="center" w:pos="1333"/>
              </w:tabs>
              <w:ind w:left="0" w:firstLine="0"/>
              <w:jc w:val="left"/>
              <w:rPr>
                <w:rFonts w:ascii="Times New Roman" w:hAnsi="Times New Roman" w:cs="Times New Roman"/>
                <w:sz w:val="24"/>
                <w:szCs w:val="24"/>
              </w:rPr>
            </w:pPr>
            <w:r>
              <w:rPr>
                <w:rFonts w:ascii="Times New Roman" w:hAnsi="Times New Roman" w:cs="Times New Roman"/>
                <w:sz w:val="24"/>
                <w:szCs w:val="24"/>
              </w:rPr>
              <w:tab/>
              <w:t>Ljúka jafnlaunavottun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c>
        <w:tc>
          <w:tcPr>
            <w:tcW w:w="3071" w:type="dxa"/>
          </w:tcPr>
          <w:p w14:paraId="1BF74DE0" w14:textId="77777777" w:rsidR="002E7C31" w:rsidRPr="00DB0BEA" w:rsidRDefault="00EF6F91" w:rsidP="000C3087">
            <w:pPr>
              <w:ind w:left="0" w:firstLine="0"/>
              <w:rPr>
                <w:rFonts w:ascii="Times New Roman" w:hAnsi="Times New Roman" w:cs="Times New Roman"/>
                <w:sz w:val="24"/>
                <w:szCs w:val="24"/>
              </w:rPr>
            </w:pPr>
            <w:r>
              <w:rPr>
                <w:rFonts w:ascii="Times New Roman" w:hAnsi="Times New Roman" w:cs="Times New Roman"/>
                <w:sz w:val="24"/>
                <w:szCs w:val="24"/>
              </w:rPr>
              <w:t>Sveitarstjóri, forstöðumenn stofnanna og jafnréttisnefnd</w:t>
            </w:r>
          </w:p>
        </w:tc>
        <w:tc>
          <w:tcPr>
            <w:tcW w:w="3071" w:type="dxa"/>
          </w:tcPr>
          <w:p w14:paraId="797341D2" w14:textId="008951EF" w:rsidR="002E7C31" w:rsidRPr="00DB0BEA" w:rsidRDefault="00EF6F91" w:rsidP="000C3087">
            <w:pPr>
              <w:ind w:left="0" w:firstLine="0"/>
              <w:rPr>
                <w:rFonts w:ascii="Times New Roman" w:hAnsi="Times New Roman" w:cs="Times New Roman"/>
                <w:sz w:val="24"/>
                <w:szCs w:val="24"/>
              </w:rPr>
            </w:pPr>
            <w:r>
              <w:rPr>
                <w:rFonts w:ascii="Times New Roman" w:hAnsi="Times New Roman" w:cs="Times New Roman"/>
                <w:sz w:val="24"/>
                <w:szCs w:val="24"/>
              </w:rPr>
              <w:t xml:space="preserve">Fyrir lok </w:t>
            </w:r>
            <w:r w:rsidR="005E6D83">
              <w:rPr>
                <w:rFonts w:ascii="Times New Roman" w:hAnsi="Times New Roman" w:cs="Times New Roman"/>
                <w:sz w:val="24"/>
                <w:szCs w:val="24"/>
              </w:rPr>
              <w:t>apríl 2022</w:t>
            </w:r>
          </w:p>
        </w:tc>
      </w:tr>
    </w:tbl>
    <w:p w14:paraId="0233FB52" w14:textId="77777777" w:rsidR="00C06C2D" w:rsidRPr="00DB0BEA" w:rsidRDefault="00C06C2D" w:rsidP="000C3087">
      <w:pPr>
        <w:rPr>
          <w:rFonts w:ascii="Times New Roman" w:hAnsi="Times New Roman" w:cs="Times New Roman"/>
          <w:sz w:val="24"/>
          <w:szCs w:val="24"/>
        </w:rPr>
      </w:pPr>
    </w:p>
    <w:p w14:paraId="1F3D3B7A" w14:textId="77777777" w:rsidR="00622436" w:rsidRPr="00DB0BEA" w:rsidRDefault="00DB0BEA">
      <w:pPr>
        <w:rPr>
          <w:rFonts w:ascii="Times New Roman" w:hAnsi="Times New Roman" w:cs="Times New Roman"/>
          <w:b/>
          <w:sz w:val="24"/>
          <w:szCs w:val="24"/>
        </w:rPr>
      </w:pPr>
      <w:r w:rsidRPr="00DB0BEA">
        <w:rPr>
          <w:rFonts w:ascii="Times New Roman" w:hAnsi="Times New Roman" w:cs="Times New Roman"/>
          <w:b/>
          <w:sz w:val="24"/>
          <w:szCs w:val="24"/>
        </w:rPr>
        <w:t>Ráðningar og laus störf</w:t>
      </w:r>
    </w:p>
    <w:p w14:paraId="0B1F8421" w14:textId="466EA5D8" w:rsidR="00E360EA" w:rsidRPr="00DB0BEA" w:rsidRDefault="00E360EA" w:rsidP="00DB0BEA">
      <w:pPr>
        <w:ind w:left="142" w:firstLine="0"/>
        <w:jc w:val="both"/>
        <w:rPr>
          <w:rFonts w:ascii="Times New Roman" w:hAnsi="Times New Roman" w:cs="Times New Roman"/>
          <w:sz w:val="24"/>
          <w:szCs w:val="24"/>
        </w:rPr>
      </w:pPr>
      <w:r w:rsidRPr="00DB0BEA">
        <w:rPr>
          <w:rFonts w:ascii="Times New Roman" w:hAnsi="Times New Roman" w:cs="Times New Roman"/>
          <w:sz w:val="24"/>
          <w:szCs w:val="24"/>
        </w:rPr>
        <w:t xml:space="preserve">Vinna skal markvisst að því að reyna að hafa áhrif á kynjaskiptingu vinnustaða og taka fram að störf standi opin </w:t>
      </w:r>
      <w:r w:rsidR="005E6D83">
        <w:rPr>
          <w:rFonts w:ascii="Times New Roman" w:hAnsi="Times New Roman" w:cs="Times New Roman"/>
          <w:sz w:val="24"/>
          <w:szCs w:val="24"/>
        </w:rPr>
        <w:t>fólki af öllum kynjum</w:t>
      </w:r>
      <w:r w:rsidRPr="00DB0BEA">
        <w:rPr>
          <w:rFonts w:ascii="Times New Roman" w:hAnsi="Times New Roman" w:cs="Times New Roman"/>
          <w:sz w:val="24"/>
          <w:szCs w:val="24"/>
        </w:rPr>
        <w:t xml:space="preserve">. Á þeim vinnustöðum þar sem annað kynjanna er ráðandi skal koma fram hvatning til þess kyns sem er í minnihluta í viðkomandi starfsgrein </w:t>
      </w:r>
      <w:r w:rsidRPr="00DB0BEA">
        <w:rPr>
          <w:rFonts w:ascii="Times New Roman" w:hAnsi="Times New Roman" w:cs="Times New Roman"/>
          <w:sz w:val="24"/>
          <w:szCs w:val="24"/>
        </w:rPr>
        <w:lastRenderedPageBreak/>
        <w:t>að sækja um laus störf. Halda skal í heiðri þeirri reglu að þeir sem ráðnir eru uppfylli þær faglegu kröfur sem gerðar eru til starfsins.</w:t>
      </w:r>
      <w:r w:rsidR="00B7191C" w:rsidRPr="00DB0BEA">
        <w:rPr>
          <w:rFonts w:ascii="Times New Roman" w:hAnsi="Times New Roman" w:cs="Times New Roman"/>
          <w:sz w:val="24"/>
          <w:szCs w:val="24"/>
        </w:rPr>
        <w:t xml:space="preserve"> Það kyn sem er í minnihluta skal að jafnaði ganga fyrir við ráðningar í störf þegar umsækjendur eru jafnhæfir.</w:t>
      </w:r>
    </w:p>
    <w:p w14:paraId="531C9112" w14:textId="77777777" w:rsidR="00B7191C" w:rsidRPr="00DB0BEA" w:rsidRDefault="00B7191C" w:rsidP="00E360EA">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787"/>
        <w:gridCol w:w="2743"/>
        <w:gridCol w:w="2818"/>
      </w:tblGrid>
      <w:tr w:rsidR="00B7191C" w:rsidRPr="00DB0BEA" w14:paraId="286E4086" w14:textId="77777777" w:rsidTr="00EF6F91">
        <w:tc>
          <w:tcPr>
            <w:tcW w:w="2882" w:type="dxa"/>
            <w:shd w:val="clear" w:color="auto" w:fill="C6D9F1" w:themeFill="text2" w:themeFillTint="33"/>
          </w:tcPr>
          <w:p w14:paraId="09F64A64" w14:textId="77777777" w:rsidR="00B7191C" w:rsidRPr="00DB0BEA" w:rsidRDefault="00B7191C" w:rsidP="00E360EA">
            <w:pPr>
              <w:ind w:left="0" w:firstLine="0"/>
              <w:rPr>
                <w:rFonts w:ascii="Times New Roman" w:hAnsi="Times New Roman" w:cs="Times New Roman"/>
                <w:b/>
                <w:sz w:val="24"/>
                <w:szCs w:val="24"/>
              </w:rPr>
            </w:pPr>
            <w:r w:rsidRPr="00DB0BEA">
              <w:rPr>
                <w:rFonts w:ascii="Times New Roman" w:hAnsi="Times New Roman" w:cs="Times New Roman"/>
                <w:b/>
                <w:sz w:val="24"/>
                <w:szCs w:val="24"/>
              </w:rPr>
              <w:t>Aðgerð</w:t>
            </w:r>
          </w:p>
        </w:tc>
        <w:tc>
          <w:tcPr>
            <w:tcW w:w="2853" w:type="dxa"/>
            <w:shd w:val="clear" w:color="auto" w:fill="C6D9F1" w:themeFill="text2" w:themeFillTint="33"/>
          </w:tcPr>
          <w:p w14:paraId="4890928E" w14:textId="77777777" w:rsidR="00B7191C" w:rsidRPr="00DB0BEA" w:rsidRDefault="00B7191C" w:rsidP="00E360EA">
            <w:pPr>
              <w:ind w:left="0" w:firstLine="0"/>
              <w:rPr>
                <w:rFonts w:ascii="Times New Roman" w:hAnsi="Times New Roman" w:cs="Times New Roman"/>
                <w:b/>
                <w:sz w:val="24"/>
                <w:szCs w:val="24"/>
              </w:rPr>
            </w:pPr>
            <w:r w:rsidRPr="00DB0BEA">
              <w:rPr>
                <w:rFonts w:ascii="Times New Roman" w:hAnsi="Times New Roman" w:cs="Times New Roman"/>
                <w:b/>
                <w:sz w:val="24"/>
                <w:szCs w:val="24"/>
              </w:rPr>
              <w:t>Ábyrgð</w:t>
            </w:r>
          </w:p>
        </w:tc>
        <w:tc>
          <w:tcPr>
            <w:tcW w:w="2839" w:type="dxa"/>
            <w:shd w:val="clear" w:color="auto" w:fill="C6D9F1" w:themeFill="text2" w:themeFillTint="33"/>
          </w:tcPr>
          <w:p w14:paraId="6D531C36" w14:textId="77777777" w:rsidR="00B7191C" w:rsidRPr="00DB0BEA" w:rsidRDefault="00B7191C" w:rsidP="00E360EA">
            <w:pPr>
              <w:ind w:left="0" w:firstLine="0"/>
              <w:rPr>
                <w:rFonts w:ascii="Times New Roman" w:hAnsi="Times New Roman" w:cs="Times New Roman"/>
                <w:b/>
                <w:sz w:val="24"/>
                <w:szCs w:val="24"/>
              </w:rPr>
            </w:pPr>
            <w:r w:rsidRPr="00DB0BEA">
              <w:rPr>
                <w:rFonts w:ascii="Times New Roman" w:hAnsi="Times New Roman" w:cs="Times New Roman"/>
                <w:b/>
                <w:sz w:val="24"/>
                <w:szCs w:val="24"/>
              </w:rPr>
              <w:t>Tímarammi</w:t>
            </w:r>
          </w:p>
        </w:tc>
      </w:tr>
      <w:tr w:rsidR="00B7191C" w:rsidRPr="00DB0BEA" w14:paraId="728A771B" w14:textId="77777777" w:rsidTr="00EF6F91">
        <w:tc>
          <w:tcPr>
            <w:tcW w:w="2882" w:type="dxa"/>
          </w:tcPr>
          <w:p w14:paraId="28AE26BA" w14:textId="77777777" w:rsidR="00B7191C" w:rsidRPr="00DB0BEA" w:rsidRDefault="00B7191C" w:rsidP="00E360EA">
            <w:pPr>
              <w:ind w:left="0" w:firstLine="0"/>
              <w:rPr>
                <w:rFonts w:ascii="Times New Roman" w:hAnsi="Times New Roman" w:cs="Times New Roman"/>
                <w:sz w:val="24"/>
                <w:szCs w:val="24"/>
              </w:rPr>
            </w:pPr>
            <w:r w:rsidRPr="00DB0BEA">
              <w:rPr>
                <w:rFonts w:ascii="Times New Roman" w:hAnsi="Times New Roman" w:cs="Times New Roman"/>
                <w:sz w:val="24"/>
                <w:szCs w:val="24"/>
              </w:rPr>
              <w:t>Árleg samantekt á á kynjahlutföllum í öllum starfshópum.</w:t>
            </w:r>
          </w:p>
        </w:tc>
        <w:tc>
          <w:tcPr>
            <w:tcW w:w="2853" w:type="dxa"/>
          </w:tcPr>
          <w:p w14:paraId="3C108370" w14:textId="77777777" w:rsidR="00B7191C" w:rsidRPr="00DB0BEA" w:rsidRDefault="00B7191C" w:rsidP="00E360EA">
            <w:pPr>
              <w:ind w:left="0" w:firstLine="0"/>
              <w:rPr>
                <w:rFonts w:ascii="Times New Roman" w:hAnsi="Times New Roman" w:cs="Times New Roman"/>
                <w:sz w:val="24"/>
                <w:szCs w:val="24"/>
              </w:rPr>
            </w:pPr>
            <w:r w:rsidRPr="00DB0BEA">
              <w:rPr>
                <w:rFonts w:ascii="Times New Roman" w:hAnsi="Times New Roman" w:cs="Times New Roman"/>
                <w:sz w:val="24"/>
                <w:szCs w:val="24"/>
              </w:rPr>
              <w:t>Sveitarstjóri og forstöðumenn stofnana</w:t>
            </w:r>
          </w:p>
        </w:tc>
        <w:tc>
          <w:tcPr>
            <w:tcW w:w="2839" w:type="dxa"/>
          </w:tcPr>
          <w:p w14:paraId="608F3FAB" w14:textId="1CD87901" w:rsidR="00B7191C" w:rsidRPr="00DB0BEA" w:rsidRDefault="005E6D83" w:rsidP="00E360EA">
            <w:pPr>
              <w:ind w:left="0" w:firstLine="0"/>
              <w:rPr>
                <w:rFonts w:ascii="Times New Roman" w:hAnsi="Times New Roman" w:cs="Times New Roman"/>
                <w:sz w:val="24"/>
                <w:szCs w:val="24"/>
              </w:rPr>
            </w:pPr>
            <w:r>
              <w:rPr>
                <w:rFonts w:ascii="Times New Roman" w:hAnsi="Times New Roman" w:cs="Times New Roman"/>
                <w:sz w:val="24"/>
                <w:szCs w:val="24"/>
              </w:rPr>
              <w:t>I kjölfari af úttekt á jafnlaunastjórnunarkerfi</w:t>
            </w:r>
            <w:r w:rsidR="00B7191C" w:rsidRPr="00DB0BEA">
              <w:rPr>
                <w:rFonts w:ascii="Times New Roman" w:hAnsi="Times New Roman" w:cs="Times New Roman"/>
                <w:sz w:val="24"/>
                <w:szCs w:val="24"/>
              </w:rPr>
              <w:t>.</w:t>
            </w:r>
          </w:p>
        </w:tc>
      </w:tr>
      <w:tr w:rsidR="00EF6F91" w:rsidRPr="00DB0BEA" w14:paraId="6FFD3334" w14:textId="77777777" w:rsidTr="00EF6F91">
        <w:tc>
          <w:tcPr>
            <w:tcW w:w="2882" w:type="dxa"/>
          </w:tcPr>
          <w:p w14:paraId="45084DE8" w14:textId="77777777" w:rsidR="00EF6F91" w:rsidRPr="00DB0BEA" w:rsidRDefault="00EF6F91" w:rsidP="00E360EA">
            <w:pPr>
              <w:ind w:left="0" w:firstLine="0"/>
              <w:rPr>
                <w:rFonts w:ascii="Times New Roman" w:hAnsi="Times New Roman" w:cs="Times New Roman"/>
                <w:sz w:val="24"/>
                <w:szCs w:val="24"/>
              </w:rPr>
            </w:pPr>
            <w:r>
              <w:rPr>
                <w:rFonts w:ascii="Times New Roman" w:hAnsi="Times New Roman" w:cs="Times New Roman"/>
                <w:sz w:val="24"/>
                <w:szCs w:val="24"/>
              </w:rPr>
              <w:t>Tryggja að öll störf sem losna standi öllum opin, á tillits til kyns, aldurs og þjóðernis</w:t>
            </w:r>
          </w:p>
        </w:tc>
        <w:tc>
          <w:tcPr>
            <w:tcW w:w="2853" w:type="dxa"/>
          </w:tcPr>
          <w:p w14:paraId="6AA183F0" w14:textId="77777777" w:rsidR="00EF6F91" w:rsidRPr="00DB0BEA" w:rsidRDefault="00EF6F91" w:rsidP="00E360EA">
            <w:pPr>
              <w:ind w:left="0" w:firstLine="0"/>
              <w:rPr>
                <w:rFonts w:ascii="Times New Roman" w:hAnsi="Times New Roman" w:cs="Times New Roman"/>
                <w:sz w:val="24"/>
                <w:szCs w:val="24"/>
              </w:rPr>
            </w:pPr>
            <w:r>
              <w:rPr>
                <w:rFonts w:ascii="Times New Roman" w:hAnsi="Times New Roman" w:cs="Times New Roman"/>
                <w:sz w:val="24"/>
                <w:szCs w:val="24"/>
              </w:rPr>
              <w:t>Sveitarstjóri og forstöðumenn stofnana</w:t>
            </w:r>
          </w:p>
        </w:tc>
        <w:tc>
          <w:tcPr>
            <w:tcW w:w="2839" w:type="dxa"/>
          </w:tcPr>
          <w:p w14:paraId="514F730A" w14:textId="77777777" w:rsidR="00EF6F91" w:rsidRPr="00DB0BEA" w:rsidRDefault="00EF6F91" w:rsidP="00E360EA">
            <w:pPr>
              <w:ind w:left="0" w:firstLine="0"/>
              <w:rPr>
                <w:rFonts w:ascii="Times New Roman" w:hAnsi="Times New Roman" w:cs="Times New Roman"/>
                <w:sz w:val="24"/>
                <w:szCs w:val="24"/>
              </w:rPr>
            </w:pPr>
            <w:r>
              <w:rPr>
                <w:rFonts w:ascii="Times New Roman" w:hAnsi="Times New Roman" w:cs="Times New Roman"/>
                <w:sz w:val="24"/>
                <w:szCs w:val="24"/>
              </w:rPr>
              <w:t>Viðvarandi verkefni</w:t>
            </w:r>
          </w:p>
        </w:tc>
      </w:tr>
    </w:tbl>
    <w:p w14:paraId="5FA2334C" w14:textId="77777777" w:rsidR="00B7191C" w:rsidRPr="00DB0BEA" w:rsidRDefault="00B7191C" w:rsidP="00E360EA">
      <w:pPr>
        <w:rPr>
          <w:rFonts w:ascii="Times New Roman" w:hAnsi="Times New Roman" w:cs="Times New Roman"/>
          <w:sz w:val="24"/>
          <w:szCs w:val="24"/>
        </w:rPr>
      </w:pPr>
    </w:p>
    <w:p w14:paraId="6C96C98B" w14:textId="77777777" w:rsidR="00E360EA" w:rsidRPr="00DB0BEA" w:rsidRDefault="00DB0BEA">
      <w:pPr>
        <w:rPr>
          <w:rFonts w:ascii="Times New Roman" w:hAnsi="Times New Roman" w:cs="Times New Roman"/>
          <w:b/>
          <w:sz w:val="24"/>
          <w:szCs w:val="24"/>
        </w:rPr>
      </w:pPr>
      <w:r w:rsidRPr="00DB0BEA">
        <w:rPr>
          <w:rFonts w:ascii="Times New Roman" w:hAnsi="Times New Roman" w:cs="Times New Roman"/>
          <w:b/>
          <w:sz w:val="24"/>
          <w:szCs w:val="24"/>
        </w:rPr>
        <w:t>S</w:t>
      </w:r>
      <w:r w:rsidR="00E360EA" w:rsidRPr="00DB0BEA">
        <w:rPr>
          <w:rFonts w:ascii="Times New Roman" w:hAnsi="Times New Roman" w:cs="Times New Roman"/>
          <w:b/>
          <w:sz w:val="24"/>
          <w:szCs w:val="24"/>
        </w:rPr>
        <w:t>tarfsþjálfun og endurmenntun</w:t>
      </w:r>
    </w:p>
    <w:p w14:paraId="6FBEB8A7" w14:textId="0C059308" w:rsidR="00E549C2" w:rsidRPr="00DB0BEA" w:rsidRDefault="00E549C2" w:rsidP="00DB0BEA">
      <w:pPr>
        <w:ind w:left="142" w:firstLine="0"/>
        <w:jc w:val="both"/>
        <w:rPr>
          <w:rFonts w:ascii="Times New Roman" w:hAnsi="Times New Roman" w:cs="Times New Roman"/>
          <w:sz w:val="24"/>
          <w:szCs w:val="24"/>
        </w:rPr>
      </w:pPr>
      <w:r w:rsidRPr="00DB0BEA">
        <w:rPr>
          <w:rFonts w:ascii="Times New Roman" w:hAnsi="Times New Roman" w:cs="Times New Roman"/>
          <w:sz w:val="24"/>
          <w:szCs w:val="24"/>
        </w:rPr>
        <w:t xml:space="preserve">Með vísan í </w:t>
      </w:r>
      <w:r w:rsidR="006A02DD">
        <w:rPr>
          <w:rFonts w:ascii="Times New Roman" w:hAnsi="Times New Roman" w:cs="Times New Roman"/>
          <w:sz w:val="24"/>
          <w:szCs w:val="24"/>
        </w:rPr>
        <w:t>20</w:t>
      </w:r>
      <w:r w:rsidRPr="00DB0BEA">
        <w:rPr>
          <w:rFonts w:ascii="Times New Roman" w:hAnsi="Times New Roman" w:cs="Times New Roman"/>
          <w:sz w:val="24"/>
          <w:szCs w:val="24"/>
        </w:rPr>
        <w:t>. gr</w:t>
      </w:r>
      <w:r w:rsidR="00FE6418">
        <w:rPr>
          <w:rFonts w:ascii="Times New Roman" w:hAnsi="Times New Roman" w:cs="Times New Roman"/>
          <w:sz w:val="24"/>
          <w:szCs w:val="24"/>
        </w:rPr>
        <w:t>.</w:t>
      </w:r>
      <w:r w:rsidRPr="00DB0BEA">
        <w:rPr>
          <w:rFonts w:ascii="Times New Roman" w:hAnsi="Times New Roman" w:cs="Times New Roman"/>
          <w:sz w:val="24"/>
          <w:szCs w:val="24"/>
        </w:rPr>
        <w:t xml:space="preserve"> nr. 10/2008 skal tryggja að </w:t>
      </w:r>
      <w:r w:rsidR="005E6D83">
        <w:rPr>
          <w:rFonts w:ascii="Times New Roman" w:hAnsi="Times New Roman" w:cs="Times New Roman"/>
          <w:sz w:val="24"/>
          <w:szCs w:val="24"/>
        </w:rPr>
        <w:t>fólk af öllum kynjum</w:t>
      </w:r>
      <w:r w:rsidRPr="00DB0BEA">
        <w:rPr>
          <w:rFonts w:ascii="Times New Roman" w:hAnsi="Times New Roman" w:cs="Times New Roman"/>
          <w:sz w:val="24"/>
          <w:szCs w:val="24"/>
        </w:rPr>
        <w:t xml:space="preserve"> njóti sömu möguleika til endurmenntunar og starfsþjálfunar og til að sækja námskeið sem haldin eru til að auka hæfni í starfi. </w:t>
      </w:r>
    </w:p>
    <w:p w14:paraId="02BED2E3" w14:textId="77777777" w:rsidR="00E549C2" w:rsidRPr="00DB0BEA" w:rsidRDefault="00E549C2">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983"/>
        <w:gridCol w:w="2702"/>
        <w:gridCol w:w="2663"/>
      </w:tblGrid>
      <w:tr w:rsidR="00E549C2" w:rsidRPr="00DB0BEA" w14:paraId="3F6F0916" w14:textId="77777777" w:rsidTr="00C14472">
        <w:tc>
          <w:tcPr>
            <w:tcW w:w="3070" w:type="dxa"/>
            <w:shd w:val="clear" w:color="auto" w:fill="C6D9F1" w:themeFill="text2" w:themeFillTint="33"/>
          </w:tcPr>
          <w:p w14:paraId="6DACF773" w14:textId="77777777" w:rsidR="00E549C2" w:rsidRPr="00DB0BEA" w:rsidRDefault="00E549C2"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1F9DDE55" w14:textId="77777777" w:rsidR="00E549C2" w:rsidRPr="00DB0BEA" w:rsidRDefault="00E549C2"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06672E7C" w14:textId="77777777" w:rsidR="00E549C2" w:rsidRPr="00DB0BEA" w:rsidRDefault="00E549C2"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E549C2" w:rsidRPr="00DB0BEA" w14:paraId="5CB0A320" w14:textId="77777777" w:rsidTr="00C14472">
        <w:tc>
          <w:tcPr>
            <w:tcW w:w="3070" w:type="dxa"/>
          </w:tcPr>
          <w:p w14:paraId="21BC7A1E" w14:textId="79B72504" w:rsidR="00E549C2" w:rsidRPr="00DB0BEA" w:rsidRDefault="00E549C2" w:rsidP="00E549C2">
            <w:pPr>
              <w:ind w:left="0" w:firstLine="0"/>
              <w:jc w:val="left"/>
              <w:rPr>
                <w:rFonts w:ascii="Times New Roman" w:hAnsi="Times New Roman" w:cs="Times New Roman"/>
                <w:sz w:val="24"/>
                <w:szCs w:val="24"/>
              </w:rPr>
            </w:pPr>
            <w:r w:rsidRPr="00DB0BEA">
              <w:rPr>
                <w:rFonts w:ascii="Times New Roman" w:hAnsi="Times New Roman" w:cs="Times New Roman"/>
                <w:sz w:val="24"/>
                <w:szCs w:val="24"/>
              </w:rPr>
              <w:t xml:space="preserve">Árleg greining á sókn </w:t>
            </w:r>
            <w:r w:rsidR="005E6D83">
              <w:rPr>
                <w:rFonts w:ascii="Times New Roman" w:hAnsi="Times New Roman" w:cs="Times New Roman"/>
                <w:sz w:val="24"/>
                <w:szCs w:val="24"/>
              </w:rPr>
              <w:t>allra kynja</w:t>
            </w:r>
            <w:r w:rsidRPr="00DB0BEA">
              <w:rPr>
                <w:rFonts w:ascii="Times New Roman" w:hAnsi="Times New Roman" w:cs="Times New Roman"/>
                <w:sz w:val="24"/>
                <w:szCs w:val="24"/>
              </w:rPr>
              <w:t xml:space="preserve"> í sambærilegum störfum í endurmenntunarnámskeið og starfsþjálfun.</w:t>
            </w:r>
          </w:p>
        </w:tc>
        <w:tc>
          <w:tcPr>
            <w:tcW w:w="3071" w:type="dxa"/>
          </w:tcPr>
          <w:p w14:paraId="56A5A4AB" w14:textId="77777777" w:rsidR="00E549C2" w:rsidRPr="00DB0BEA" w:rsidRDefault="00E549C2" w:rsidP="00C14472">
            <w:pPr>
              <w:ind w:left="0" w:firstLine="0"/>
              <w:rPr>
                <w:rFonts w:ascii="Times New Roman" w:hAnsi="Times New Roman" w:cs="Times New Roman"/>
                <w:sz w:val="24"/>
                <w:szCs w:val="24"/>
              </w:rPr>
            </w:pPr>
            <w:r w:rsidRPr="00DB0BEA">
              <w:rPr>
                <w:rFonts w:ascii="Times New Roman" w:hAnsi="Times New Roman" w:cs="Times New Roman"/>
                <w:sz w:val="24"/>
                <w:szCs w:val="24"/>
              </w:rPr>
              <w:t>Sveitarstjóri og forstöðumenn stofnana</w:t>
            </w:r>
          </w:p>
        </w:tc>
        <w:tc>
          <w:tcPr>
            <w:tcW w:w="3071" w:type="dxa"/>
          </w:tcPr>
          <w:p w14:paraId="2BAB10CF" w14:textId="77777777" w:rsidR="00E549C2" w:rsidRPr="00DB0BEA" w:rsidRDefault="00E549C2" w:rsidP="00C14472">
            <w:pPr>
              <w:ind w:left="0" w:firstLine="0"/>
              <w:rPr>
                <w:rFonts w:ascii="Times New Roman" w:hAnsi="Times New Roman" w:cs="Times New Roman"/>
                <w:sz w:val="24"/>
                <w:szCs w:val="24"/>
              </w:rPr>
            </w:pPr>
            <w:r w:rsidRPr="00DB0BEA">
              <w:rPr>
                <w:rFonts w:ascii="Times New Roman" w:hAnsi="Times New Roman" w:cs="Times New Roman"/>
                <w:sz w:val="24"/>
                <w:szCs w:val="24"/>
              </w:rPr>
              <w:t>mars ár hvert.</w:t>
            </w:r>
          </w:p>
        </w:tc>
      </w:tr>
    </w:tbl>
    <w:p w14:paraId="7F6ED8DD" w14:textId="77777777" w:rsidR="00B754DC" w:rsidRPr="00DB0BEA" w:rsidRDefault="00E549C2" w:rsidP="005302FD">
      <w:pPr>
        <w:ind w:left="0" w:firstLine="0"/>
        <w:jc w:val="both"/>
        <w:rPr>
          <w:rFonts w:ascii="Times New Roman" w:hAnsi="Times New Roman" w:cs="Times New Roman"/>
          <w:sz w:val="24"/>
          <w:szCs w:val="24"/>
        </w:rPr>
      </w:pPr>
      <w:r w:rsidRPr="00DB0BEA">
        <w:rPr>
          <w:rFonts w:ascii="Times New Roman" w:hAnsi="Times New Roman" w:cs="Times New Roman"/>
          <w:sz w:val="24"/>
          <w:szCs w:val="24"/>
        </w:rPr>
        <w:t xml:space="preserve"> </w:t>
      </w:r>
    </w:p>
    <w:p w14:paraId="5A82991C" w14:textId="77777777" w:rsidR="00622436" w:rsidRPr="00DB0BEA" w:rsidRDefault="00622436">
      <w:pPr>
        <w:rPr>
          <w:rFonts w:ascii="Times New Roman" w:hAnsi="Times New Roman" w:cs="Times New Roman"/>
          <w:b/>
          <w:sz w:val="24"/>
          <w:szCs w:val="24"/>
        </w:rPr>
      </w:pPr>
      <w:r w:rsidRPr="00DB0BEA">
        <w:rPr>
          <w:rFonts w:ascii="Times New Roman" w:hAnsi="Times New Roman" w:cs="Times New Roman"/>
          <w:b/>
          <w:sz w:val="24"/>
          <w:szCs w:val="24"/>
        </w:rPr>
        <w:t>Samræming fjölskyldu- og atvinnulífs</w:t>
      </w:r>
    </w:p>
    <w:p w14:paraId="5F38A6B4" w14:textId="77777777" w:rsidR="00E549C2" w:rsidRPr="00DB0BEA" w:rsidRDefault="00E549C2" w:rsidP="00CF0870">
      <w:pPr>
        <w:ind w:left="284" w:firstLine="0"/>
        <w:jc w:val="both"/>
        <w:rPr>
          <w:rFonts w:ascii="Times New Roman" w:hAnsi="Times New Roman" w:cs="Times New Roman"/>
          <w:sz w:val="24"/>
          <w:szCs w:val="24"/>
        </w:rPr>
      </w:pPr>
      <w:r w:rsidRPr="00DB0BEA">
        <w:rPr>
          <w:rFonts w:ascii="Times New Roman" w:hAnsi="Times New Roman" w:cs="Times New Roman"/>
          <w:sz w:val="24"/>
          <w:szCs w:val="24"/>
        </w:rPr>
        <w:t>Starfsfólki sveitarfélagsins skal eins og kostur er gert kleift að samræma starfsskyldur sínar og skyldur gagn</w:t>
      </w:r>
      <w:r w:rsidR="00622660">
        <w:rPr>
          <w:rFonts w:ascii="Times New Roman" w:hAnsi="Times New Roman" w:cs="Times New Roman"/>
          <w:sz w:val="24"/>
          <w:szCs w:val="24"/>
        </w:rPr>
        <w:t>vart fjölskyldu. Starfsfólk</w:t>
      </w:r>
      <w:r w:rsidRPr="00DB0BEA">
        <w:rPr>
          <w:rFonts w:ascii="Times New Roman" w:hAnsi="Times New Roman" w:cs="Times New Roman"/>
          <w:sz w:val="24"/>
          <w:szCs w:val="24"/>
        </w:rPr>
        <w:t xml:space="preserve"> skal eftir því sem við verður komið eiga kost á sveigjanlegum vinnutíma/og eða breyttum starfshlutföllum.</w:t>
      </w:r>
      <w:r w:rsidR="0068787D">
        <w:rPr>
          <w:rFonts w:ascii="Times New Roman" w:hAnsi="Times New Roman" w:cs="Times New Roman"/>
          <w:sz w:val="24"/>
          <w:szCs w:val="24"/>
        </w:rPr>
        <w:t xml:space="preserve"> Þetta á einnig við þegar starfsmenn koma aftur til starfa eftir fæðingar- og foreldraorlof eða leyfi úr vinnu vegna óviðráðanlegra og brýnna fjölskylduaðstæðna.</w:t>
      </w:r>
      <w:r w:rsidRPr="00DB0BEA">
        <w:rPr>
          <w:rFonts w:ascii="Times New Roman" w:hAnsi="Times New Roman" w:cs="Times New Roman"/>
          <w:sz w:val="24"/>
          <w:szCs w:val="24"/>
        </w:rPr>
        <w:t xml:space="preserve"> Hvatt skal t</w:t>
      </w:r>
      <w:r w:rsidR="003A7D15" w:rsidRPr="00DB0BEA">
        <w:rPr>
          <w:rFonts w:ascii="Times New Roman" w:hAnsi="Times New Roman" w:cs="Times New Roman"/>
          <w:sz w:val="24"/>
          <w:szCs w:val="24"/>
        </w:rPr>
        <w:t>il þess að báðir foreldrar nýti</w:t>
      </w:r>
      <w:r w:rsidRPr="00DB0BEA">
        <w:rPr>
          <w:rFonts w:ascii="Times New Roman" w:hAnsi="Times New Roman" w:cs="Times New Roman"/>
          <w:sz w:val="24"/>
          <w:szCs w:val="24"/>
        </w:rPr>
        <w:t xml:space="preserve"> sér rétt til fæðingarorlofs</w:t>
      </w:r>
      <w:r w:rsidR="003A7D15" w:rsidRPr="00DB0BEA">
        <w:rPr>
          <w:rFonts w:ascii="Times New Roman" w:hAnsi="Times New Roman" w:cs="Times New Roman"/>
          <w:sz w:val="24"/>
          <w:szCs w:val="24"/>
        </w:rPr>
        <w:t xml:space="preserve"> og skipti með sér veikindadögum barna sinna.</w:t>
      </w:r>
      <w:r w:rsidR="00622660">
        <w:rPr>
          <w:rFonts w:ascii="Times New Roman" w:hAnsi="Times New Roman" w:cs="Times New Roman"/>
          <w:sz w:val="24"/>
          <w:szCs w:val="24"/>
        </w:rPr>
        <w:t xml:space="preserve"> </w:t>
      </w:r>
    </w:p>
    <w:p w14:paraId="1B6037EF" w14:textId="77777777" w:rsidR="00412AAF" w:rsidRPr="00DB0BEA" w:rsidRDefault="00412AAF">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857"/>
        <w:gridCol w:w="2701"/>
        <w:gridCol w:w="2790"/>
      </w:tblGrid>
      <w:tr w:rsidR="00412AAF" w:rsidRPr="00DB0BEA" w14:paraId="4C6D15AC" w14:textId="77777777" w:rsidTr="00C14472">
        <w:tc>
          <w:tcPr>
            <w:tcW w:w="3070" w:type="dxa"/>
            <w:shd w:val="clear" w:color="auto" w:fill="C6D9F1" w:themeFill="text2" w:themeFillTint="33"/>
          </w:tcPr>
          <w:p w14:paraId="554E9EEB" w14:textId="77777777" w:rsidR="00412AAF" w:rsidRPr="00DB0BEA" w:rsidRDefault="00412AAF"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44338812" w14:textId="77777777" w:rsidR="00412AAF" w:rsidRPr="00DB0BEA" w:rsidRDefault="00412AAF"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07F7E732" w14:textId="77777777" w:rsidR="00412AAF" w:rsidRPr="00DB0BEA" w:rsidRDefault="00412AAF"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412AAF" w:rsidRPr="00DB0BEA" w14:paraId="0DB99A8A" w14:textId="77777777" w:rsidTr="00C14472">
        <w:tc>
          <w:tcPr>
            <w:tcW w:w="3070" w:type="dxa"/>
          </w:tcPr>
          <w:p w14:paraId="0FE53D48" w14:textId="77777777" w:rsidR="00412AAF" w:rsidRDefault="00412AAF" w:rsidP="00C14472">
            <w:pPr>
              <w:ind w:left="0" w:firstLine="0"/>
              <w:jc w:val="left"/>
              <w:rPr>
                <w:rFonts w:ascii="Times New Roman" w:hAnsi="Times New Roman" w:cs="Times New Roman"/>
                <w:sz w:val="24"/>
                <w:szCs w:val="24"/>
              </w:rPr>
            </w:pPr>
            <w:r w:rsidRPr="00DB0BEA">
              <w:rPr>
                <w:rFonts w:ascii="Times New Roman" w:hAnsi="Times New Roman" w:cs="Times New Roman"/>
                <w:sz w:val="24"/>
                <w:szCs w:val="24"/>
              </w:rPr>
              <w:t>Starfsmenn verði hvattir til að skipuleggja tímanlega töku foreldraorlofs.</w:t>
            </w:r>
          </w:p>
          <w:p w14:paraId="686CA5CE" w14:textId="77777777" w:rsidR="003C7301" w:rsidRPr="00DB0BEA" w:rsidRDefault="003C7301" w:rsidP="00C14472">
            <w:pPr>
              <w:ind w:left="0" w:firstLine="0"/>
              <w:jc w:val="left"/>
              <w:rPr>
                <w:rFonts w:ascii="Times New Roman" w:hAnsi="Times New Roman" w:cs="Times New Roman"/>
                <w:sz w:val="24"/>
                <w:szCs w:val="24"/>
              </w:rPr>
            </w:pPr>
            <w:r>
              <w:rPr>
                <w:rFonts w:ascii="Times New Roman" w:hAnsi="Times New Roman" w:cs="Times New Roman"/>
                <w:sz w:val="24"/>
                <w:szCs w:val="24"/>
              </w:rPr>
              <w:t>Könnun gerð í starfsmannaviðtölum á upplifun starfsfólk á samræmingu fjölskyldu- og atvinnulífs.</w:t>
            </w:r>
          </w:p>
        </w:tc>
        <w:tc>
          <w:tcPr>
            <w:tcW w:w="3071" w:type="dxa"/>
          </w:tcPr>
          <w:p w14:paraId="2B21C7F3" w14:textId="77777777" w:rsidR="00412AAF" w:rsidRPr="00DB0BEA" w:rsidRDefault="00412AAF" w:rsidP="00C14472">
            <w:pPr>
              <w:ind w:left="0" w:firstLine="0"/>
              <w:rPr>
                <w:rFonts w:ascii="Times New Roman" w:hAnsi="Times New Roman" w:cs="Times New Roman"/>
                <w:sz w:val="24"/>
                <w:szCs w:val="24"/>
              </w:rPr>
            </w:pPr>
            <w:r w:rsidRPr="00DB0BEA">
              <w:rPr>
                <w:rFonts w:ascii="Times New Roman" w:hAnsi="Times New Roman" w:cs="Times New Roman"/>
                <w:sz w:val="24"/>
                <w:szCs w:val="24"/>
              </w:rPr>
              <w:t>Sveitarstjóri, skrifstofustjóri og forstöðumenn stofnana</w:t>
            </w:r>
          </w:p>
        </w:tc>
        <w:tc>
          <w:tcPr>
            <w:tcW w:w="3071" w:type="dxa"/>
          </w:tcPr>
          <w:p w14:paraId="4A006F46" w14:textId="77777777" w:rsidR="00412AAF" w:rsidRPr="00DB0BEA" w:rsidRDefault="00412AAF" w:rsidP="00DF2169">
            <w:pPr>
              <w:ind w:left="0" w:firstLine="0"/>
              <w:rPr>
                <w:rFonts w:ascii="Times New Roman" w:hAnsi="Times New Roman" w:cs="Times New Roman"/>
                <w:sz w:val="24"/>
                <w:szCs w:val="24"/>
              </w:rPr>
            </w:pPr>
            <w:r w:rsidRPr="00DB0BEA">
              <w:rPr>
                <w:rFonts w:ascii="Times New Roman" w:hAnsi="Times New Roman" w:cs="Times New Roman"/>
                <w:sz w:val="24"/>
                <w:szCs w:val="24"/>
              </w:rPr>
              <w:t>Eftir því sem við á hverju sinni</w:t>
            </w:r>
            <w:r w:rsidR="003C7301">
              <w:rPr>
                <w:rFonts w:ascii="Times New Roman" w:hAnsi="Times New Roman" w:cs="Times New Roman"/>
                <w:sz w:val="24"/>
                <w:szCs w:val="24"/>
              </w:rPr>
              <w:t>. Starfsmannaviðtöl einu sinni á ári.</w:t>
            </w:r>
          </w:p>
        </w:tc>
      </w:tr>
    </w:tbl>
    <w:p w14:paraId="246A45E6" w14:textId="77777777" w:rsidR="00412AAF" w:rsidRPr="00DB0BEA" w:rsidRDefault="00412AAF" w:rsidP="00412AAF">
      <w:pPr>
        <w:ind w:left="0" w:firstLine="0"/>
        <w:jc w:val="both"/>
        <w:rPr>
          <w:rFonts w:ascii="Times New Roman" w:hAnsi="Times New Roman" w:cs="Times New Roman"/>
          <w:sz w:val="24"/>
          <w:szCs w:val="24"/>
        </w:rPr>
      </w:pPr>
    </w:p>
    <w:p w14:paraId="548AF08E" w14:textId="77777777" w:rsidR="005E6D83" w:rsidRDefault="005E6D83">
      <w:pPr>
        <w:rPr>
          <w:rFonts w:ascii="Times New Roman" w:hAnsi="Times New Roman" w:cs="Times New Roman"/>
          <w:b/>
          <w:sz w:val="24"/>
          <w:szCs w:val="24"/>
        </w:rPr>
      </w:pPr>
    </w:p>
    <w:p w14:paraId="0D44F90A" w14:textId="77777777" w:rsidR="005E6D83" w:rsidRDefault="005E6D83">
      <w:pPr>
        <w:rPr>
          <w:rFonts w:ascii="Times New Roman" w:hAnsi="Times New Roman" w:cs="Times New Roman"/>
          <w:b/>
          <w:sz w:val="24"/>
          <w:szCs w:val="24"/>
        </w:rPr>
      </w:pPr>
    </w:p>
    <w:p w14:paraId="1C085103" w14:textId="713B5BFD" w:rsidR="00622436" w:rsidRPr="00DB0BEA" w:rsidRDefault="000C1FC6">
      <w:pPr>
        <w:rPr>
          <w:rFonts w:ascii="Times New Roman" w:hAnsi="Times New Roman" w:cs="Times New Roman"/>
          <w:b/>
          <w:sz w:val="24"/>
          <w:szCs w:val="24"/>
        </w:rPr>
      </w:pPr>
      <w:r>
        <w:rPr>
          <w:rFonts w:ascii="Times New Roman" w:hAnsi="Times New Roman" w:cs="Times New Roman"/>
          <w:b/>
          <w:sz w:val="24"/>
          <w:szCs w:val="24"/>
        </w:rPr>
        <w:lastRenderedPageBreak/>
        <w:t>Kynbundið ofbeldi, k</w:t>
      </w:r>
      <w:r w:rsidR="000C3087" w:rsidRPr="00DB0BEA">
        <w:rPr>
          <w:rFonts w:ascii="Times New Roman" w:hAnsi="Times New Roman" w:cs="Times New Roman"/>
          <w:b/>
          <w:sz w:val="24"/>
          <w:szCs w:val="24"/>
        </w:rPr>
        <w:t>ynbundin</w:t>
      </w:r>
      <w:r w:rsidR="00622436" w:rsidRPr="00DB0BEA">
        <w:rPr>
          <w:rFonts w:ascii="Times New Roman" w:hAnsi="Times New Roman" w:cs="Times New Roman"/>
          <w:b/>
          <w:sz w:val="24"/>
          <w:szCs w:val="24"/>
        </w:rPr>
        <w:t xml:space="preserve"> áreitni</w:t>
      </w:r>
      <w:r w:rsidR="000C3087" w:rsidRPr="00DB0BEA">
        <w:rPr>
          <w:rFonts w:ascii="Times New Roman" w:hAnsi="Times New Roman" w:cs="Times New Roman"/>
          <w:b/>
          <w:sz w:val="24"/>
          <w:szCs w:val="24"/>
        </w:rPr>
        <w:t xml:space="preserve"> og kynferðisleg áreitni</w:t>
      </w:r>
    </w:p>
    <w:p w14:paraId="0618AC5F" w14:textId="6404B2FF" w:rsidR="00412AAF" w:rsidRPr="00DB0BEA" w:rsidRDefault="00412AAF" w:rsidP="00DB0BEA">
      <w:pPr>
        <w:ind w:left="284" w:firstLine="0"/>
        <w:jc w:val="both"/>
        <w:rPr>
          <w:rFonts w:ascii="Times New Roman" w:hAnsi="Times New Roman" w:cs="Times New Roman"/>
          <w:sz w:val="24"/>
          <w:szCs w:val="24"/>
        </w:rPr>
      </w:pPr>
      <w:r w:rsidRPr="00DB0BEA">
        <w:rPr>
          <w:rFonts w:ascii="Times New Roman" w:hAnsi="Times New Roman" w:cs="Times New Roman"/>
          <w:sz w:val="24"/>
          <w:szCs w:val="24"/>
        </w:rPr>
        <w:t>K</w:t>
      </w:r>
      <w:r w:rsidR="00B60644">
        <w:rPr>
          <w:rFonts w:ascii="Times New Roman" w:hAnsi="Times New Roman" w:cs="Times New Roman"/>
          <w:sz w:val="24"/>
          <w:szCs w:val="24"/>
        </w:rPr>
        <w:t>ynbundið ofbeldi, k</w:t>
      </w:r>
      <w:r w:rsidRPr="00DB0BEA">
        <w:rPr>
          <w:rFonts w:ascii="Times New Roman" w:hAnsi="Times New Roman" w:cs="Times New Roman"/>
          <w:sz w:val="24"/>
          <w:szCs w:val="24"/>
        </w:rPr>
        <w:t>ynbundin áreitni og/eða kynferðisleg áreitni verður aldrei liðin á vinnustöðum sveitarfélagsins. Starfsmenn sveitarfélagsins og forsvarsmenn íþrótta- og æskulýðsstarfs bera ábyrgð á að þess sé gætt að starfsfólk, nemar, iðkendur og aðrir notendur verði ekki fyrir kynferðislegr</w:t>
      </w:r>
      <w:r w:rsidR="00B60644">
        <w:rPr>
          <w:rFonts w:ascii="Times New Roman" w:hAnsi="Times New Roman" w:cs="Times New Roman"/>
          <w:sz w:val="24"/>
          <w:szCs w:val="24"/>
        </w:rPr>
        <w:t>i</w:t>
      </w:r>
      <w:r w:rsidRPr="00DB0BEA">
        <w:rPr>
          <w:rFonts w:ascii="Times New Roman" w:hAnsi="Times New Roman" w:cs="Times New Roman"/>
          <w:sz w:val="24"/>
          <w:szCs w:val="24"/>
        </w:rPr>
        <w:t xml:space="preserve"> áreiti</w:t>
      </w:r>
      <w:r w:rsidR="00B60644">
        <w:rPr>
          <w:rFonts w:ascii="Times New Roman" w:hAnsi="Times New Roman" w:cs="Times New Roman"/>
          <w:sz w:val="24"/>
          <w:szCs w:val="24"/>
        </w:rPr>
        <w:t>n</w:t>
      </w:r>
      <w:r w:rsidRPr="00DB0BEA">
        <w:rPr>
          <w:rFonts w:ascii="Times New Roman" w:hAnsi="Times New Roman" w:cs="Times New Roman"/>
          <w:sz w:val="24"/>
          <w:szCs w:val="24"/>
        </w:rPr>
        <w:t xml:space="preserve"> né kynbund</w:t>
      </w:r>
      <w:r w:rsidR="00B60644">
        <w:rPr>
          <w:rFonts w:ascii="Times New Roman" w:hAnsi="Times New Roman" w:cs="Times New Roman"/>
          <w:sz w:val="24"/>
          <w:szCs w:val="24"/>
        </w:rPr>
        <w:t>i</w:t>
      </w:r>
      <w:r w:rsidRPr="00DB0BEA">
        <w:rPr>
          <w:rFonts w:ascii="Times New Roman" w:hAnsi="Times New Roman" w:cs="Times New Roman"/>
          <w:sz w:val="24"/>
          <w:szCs w:val="24"/>
        </w:rPr>
        <w:t>n</w:t>
      </w:r>
      <w:r w:rsidR="00B60644">
        <w:rPr>
          <w:rFonts w:ascii="Times New Roman" w:hAnsi="Times New Roman" w:cs="Times New Roman"/>
          <w:sz w:val="24"/>
          <w:szCs w:val="24"/>
        </w:rPr>
        <w:t>ni</w:t>
      </w:r>
      <w:r w:rsidRPr="00DB0BEA">
        <w:rPr>
          <w:rFonts w:ascii="Times New Roman" w:hAnsi="Times New Roman" w:cs="Times New Roman"/>
          <w:sz w:val="24"/>
          <w:szCs w:val="24"/>
        </w:rPr>
        <w:t xml:space="preserve"> áreit</w:t>
      </w:r>
      <w:r w:rsidR="00B60644">
        <w:rPr>
          <w:rFonts w:ascii="Times New Roman" w:hAnsi="Times New Roman" w:cs="Times New Roman"/>
          <w:sz w:val="24"/>
          <w:szCs w:val="24"/>
        </w:rPr>
        <w:t>n</w:t>
      </w:r>
      <w:r w:rsidRPr="00DB0BEA">
        <w:rPr>
          <w:rFonts w:ascii="Times New Roman" w:hAnsi="Times New Roman" w:cs="Times New Roman"/>
          <w:sz w:val="24"/>
          <w:szCs w:val="24"/>
        </w:rPr>
        <w:t>i</w:t>
      </w:r>
      <w:r w:rsidR="000C1FC6">
        <w:rPr>
          <w:rFonts w:ascii="Times New Roman" w:hAnsi="Times New Roman" w:cs="Times New Roman"/>
          <w:sz w:val="24"/>
          <w:szCs w:val="24"/>
        </w:rPr>
        <w:t xml:space="preserve"> eða ofbeldi. S</w:t>
      </w:r>
      <w:r w:rsidRPr="00DB0BEA">
        <w:rPr>
          <w:rFonts w:ascii="Times New Roman" w:hAnsi="Times New Roman" w:cs="Times New Roman"/>
          <w:sz w:val="24"/>
          <w:szCs w:val="24"/>
        </w:rPr>
        <w:t xml:space="preserve">é yfirmanni eða trúnaðarmanni gert viðvart um slíka hegðun, ber viðkomandi, í samráði við yfirmann, að binda endi á hana. Ef yfirmaður er kærður vegna meintrar kynferðislegrar </w:t>
      </w:r>
      <w:r w:rsidR="003F3D33">
        <w:rPr>
          <w:rFonts w:ascii="Times New Roman" w:hAnsi="Times New Roman" w:cs="Times New Roman"/>
          <w:sz w:val="24"/>
          <w:szCs w:val="24"/>
        </w:rPr>
        <w:t xml:space="preserve">eða kynbundinnar </w:t>
      </w:r>
      <w:r w:rsidRPr="00DB0BEA">
        <w:rPr>
          <w:rFonts w:ascii="Times New Roman" w:hAnsi="Times New Roman" w:cs="Times New Roman"/>
          <w:sz w:val="24"/>
          <w:szCs w:val="24"/>
        </w:rPr>
        <w:t xml:space="preserve">áreitni </w:t>
      </w:r>
      <w:r w:rsidR="000C1FC6">
        <w:rPr>
          <w:rFonts w:ascii="Times New Roman" w:hAnsi="Times New Roman" w:cs="Times New Roman"/>
          <w:sz w:val="24"/>
          <w:szCs w:val="24"/>
        </w:rPr>
        <w:t xml:space="preserve">eða ofbeldi </w:t>
      </w:r>
      <w:r w:rsidRPr="00DB0BEA">
        <w:rPr>
          <w:rFonts w:ascii="Times New Roman" w:hAnsi="Times New Roman" w:cs="Times New Roman"/>
          <w:sz w:val="24"/>
          <w:szCs w:val="24"/>
        </w:rPr>
        <w:t>verður hann vanhæfur til að ákvarða</w:t>
      </w:r>
      <w:r w:rsidR="00A62164" w:rsidRPr="00DB0BEA">
        <w:rPr>
          <w:rFonts w:ascii="Times New Roman" w:hAnsi="Times New Roman" w:cs="Times New Roman"/>
          <w:sz w:val="24"/>
          <w:szCs w:val="24"/>
        </w:rPr>
        <w:t xml:space="preserve"> um vinnuskilyrði kæranda á meðan á rannsókn málsins stendur yfir og skal næsti yfirmaður taka ákv</w:t>
      </w:r>
      <w:r w:rsidR="00CE37E6">
        <w:rPr>
          <w:rFonts w:ascii="Times New Roman" w:hAnsi="Times New Roman" w:cs="Times New Roman"/>
          <w:sz w:val="24"/>
          <w:szCs w:val="24"/>
        </w:rPr>
        <w:t>arðanir er varða kæranda skv. 22</w:t>
      </w:r>
      <w:r w:rsidR="00A62164" w:rsidRPr="00DB0BEA">
        <w:rPr>
          <w:rFonts w:ascii="Times New Roman" w:hAnsi="Times New Roman" w:cs="Times New Roman"/>
          <w:sz w:val="24"/>
          <w:szCs w:val="24"/>
        </w:rPr>
        <w:t>.</w:t>
      </w:r>
      <w:r w:rsidR="00CE37E6">
        <w:rPr>
          <w:rFonts w:ascii="Times New Roman" w:hAnsi="Times New Roman" w:cs="Times New Roman"/>
          <w:sz w:val="24"/>
          <w:szCs w:val="24"/>
        </w:rPr>
        <w:t xml:space="preserve"> gr.</w:t>
      </w:r>
      <w:r w:rsidR="00A62164" w:rsidRPr="00DB0BEA">
        <w:rPr>
          <w:rFonts w:ascii="Times New Roman" w:hAnsi="Times New Roman" w:cs="Times New Roman"/>
          <w:sz w:val="24"/>
          <w:szCs w:val="24"/>
        </w:rPr>
        <w:t xml:space="preserve"> nr. 10/2008.</w:t>
      </w:r>
      <w:r w:rsidRPr="00DB0BEA">
        <w:rPr>
          <w:rFonts w:ascii="Times New Roman" w:hAnsi="Times New Roman" w:cs="Times New Roman"/>
          <w:sz w:val="24"/>
          <w:szCs w:val="24"/>
        </w:rPr>
        <w:t xml:space="preserve"> </w:t>
      </w:r>
    </w:p>
    <w:p w14:paraId="7B99688A" w14:textId="77777777" w:rsidR="00DB0BEA" w:rsidRPr="00DB0BEA" w:rsidRDefault="00DB0BEA" w:rsidP="00DB0BEA">
      <w:pPr>
        <w:ind w:left="284" w:firstLine="0"/>
        <w:jc w:val="both"/>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812"/>
        <w:gridCol w:w="2799"/>
        <w:gridCol w:w="2737"/>
      </w:tblGrid>
      <w:tr w:rsidR="00A62164" w:rsidRPr="00DB0BEA" w14:paraId="48419046" w14:textId="77777777" w:rsidTr="00C14472">
        <w:tc>
          <w:tcPr>
            <w:tcW w:w="3070" w:type="dxa"/>
            <w:shd w:val="clear" w:color="auto" w:fill="C6D9F1" w:themeFill="text2" w:themeFillTint="33"/>
          </w:tcPr>
          <w:p w14:paraId="474C6088" w14:textId="77777777" w:rsidR="00A62164" w:rsidRPr="00DB0BEA" w:rsidRDefault="00A62164"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5820188C" w14:textId="77777777" w:rsidR="00A62164" w:rsidRPr="00DB0BEA" w:rsidRDefault="00A62164"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625A9636" w14:textId="77777777" w:rsidR="00A62164" w:rsidRPr="00DB0BEA" w:rsidRDefault="00A62164" w:rsidP="00C14472">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A62164" w:rsidRPr="00DB0BEA" w14:paraId="69E8DBFC" w14:textId="77777777" w:rsidTr="00C14472">
        <w:tc>
          <w:tcPr>
            <w:tcW w:w="3070" w:type="dxa"/>
          </w:tcPr>
          <w:p w14:paraId="1648B489" w14:textId="77777777" w:rsidR="00A62164" w:rsidRPr="00DB0BEA" w:rsidRDefault="00A62164" w:rsidP="00C14472">
            <w:pPr>
              <w:ind w:left="0" w:firstLine="0"/>
              <w:jc w:val="left"/>
              <w:rPr>
                <w:rFonts w:ascii="Times New Roman" w:hAnsi="Times New Roman" w:cs="Times New Roman"/>
                <w:sz w:val="24"/>
                <w:szCs w:val="24"/>
              </w:rPr>
            </w:pPr>
            <w:r w:rsidRPr="00DB0BEA">
              <w:rPr>
                <w:rFonts w:ascii="Times New Roman" w:hAnsi="Times New Roman" w:cs="Times New Roman"/>
                <w:sz w:val="24"/>
                <w:szCs w:val="24"/>
              </w:rPr>
              <w:t>Starfsmenn sveitarfélagsins fái fræ</w:t>
            </w:r>
            <w:r w:rsidR="000C1FC6">
              <w:rPr>
                <w:rFonts w:ascii="Times New Roman" w:hAnsi="Times New Roman" w:cs="Times New Roman"/>
                <w:sz w:val="24"/>
                <w:szCs w:val="24"/>
              </w:rPr>
              <w:t>ðslu um hvað felst í kynferðislegri eða kynbundinni</w:t>
            </w:r>
            <w:r w:rsidRPr="00DB0BEA">
              <w:rPr>
                <w:rFonts w:ascii="Times New Roman" w:hAnsi="Times New Roman" w:cs="Times New Roman"/>
                <w:sz w:val="24"/>
                <w:szCs w:val="24"/>
              </w:rPr>
              <w:t xml:space="preserve"> áreitni</w:t>
            </w:r>
            <w:r w:rsidR="000C1FC6">
              <w:rPr>
                <w:rFonts w:ascii="Times New Roman" w:hAnsi="Times New Roman" w:cs="Times New Roman"/>
                <w:sz w:val="24"/>
                <w:szCs w:val="24"/>
              </w:rPr>
              <w:t xml:space="preserve"> eða ofbeldi</w:t>
            </w:r>
            <w:r w:rsidRPr="00DB0BEA">
              <w:rPr>
                <w:rFonts w:ascii="Times New Roman" w:hAnsi="Times New Roman" w:cs="Times New Roman"/>
                <w:sz w:val="24"/>
                <w:szCs w:val="24"/>
              </w:rPr>
              <w:t xml:space="preserve"> og hvert beri að leita ef slíkt kemur upp. Leiðbeiningar um viðbrögð við einelti</w:t>
            </w:r>
            <w:r w:rsidR="005F4229">
              <w:rPr>
                <w:rFonts w:ascii="Times New Roman" w:hAnsi="Times New Roman" w:cs="Times New Roman"/>
                <w:sz w:val="24"/>
                <w:szCs w:val="24"/>
              </w:rPr>
              <w:t>, kynbundnu ofbeldi, kynbundinni áreitni</w:t>
            </w:r>
            <w:r w:rsidRPr="00DB0BEA">
              <w:rPr>
                <w:rFonts w:ascii="Times New Roman" w:hAnsi="Times New Roman" w:cs="Times New Roman"/>
                <w:sz w:val="24"/>
                <w:szCs w:val="24"/>
              </w:rPr>
              <w:t xml:space="preserve"> og kynferðisleg</w:t>
            </w:r>
            <w:r w:rsidR="00F378BD">
              <w:rPr>
                <w:rFonts w:ascii="Times New Roman" w:hAnsi="Times New Roman" w:cs="Times New Roman"/>
                <w:sz w:val="24"/>
                <w:szCs w:val="24"/>
              </w:rPr>
              <w:t>ri</w:t>
            </w:r>
            <w:r w:rsidRPr="00DB0BEA">
              <w:rPr>
                <w:rFonts w:ascii="Times New Roman" w:hAnsi="Times New Roman" w:cs="Times New Roman"/>
                <w:sz w:val="24"/>
                <w:szCs w:val="24"/>
              </w:rPr>
              <w:t xml:space="preserve"> áreitni á vinnustöðum – forvarnir og viðbrögð verði kynntar fyrir öllum starfsmönnum sveitarfélagsins.</w:t>
            </w:r>
          </w:p>
        </w:tc>
        <w:tc>
          <w:tcPr>
            <w:tcW w:w="3071" w:type="dxa"/>
          </w:tcPr>
          <w:p w14:paraId="7E429CD8" w14:textId="77777777" w:rsidR="00A62164" w:rsidRPr="00DB0BEA" w:rsidRDefault="00A62164" w:rsidP="00C14472">
            <w:pPr>
              <w:ind w:left="0" w:firstLine="0"/>
              <w:rPr>
                <w:rFonts w:ascii="Times New Roman" w:hAnsi="Times New Roman" w:cs="Times New Roman"/>
                <w:sz w:val="24"/>
                <w:szCs w:val="24"/>
              </w:rPr>
            </w:pPr>
            <w:r w:rsidRPr="00DB0BEA">
              <w:rPr>
                <w:rFonts w:ascii="Times New Roman" w:hAnsi="Times New Roman" w:cs="Times New Roman"/>
                <w:sz w:val="24"/>
                <w:szCs w:val="24"/>
              </w:rPr>
              <w:t>Jafnréttisnefnd, sveitarstjóri og forstöðumenn stofnana</w:t>
            </w:r>
          </w:p>
        </w:tc>
        <w:tc>
          <w:tcPr>
            <w:tcW w:w="3071" w:type="dxa"/>
          </w:tcPr>
          <w:p w14:paraId="5C8809B2" w14:textId="77777777" w:rsidR="00A62164" w:rsidRPr="00DB0BEA" w:rsidRDefault="00CE37E6" w:rsidP="00C14472">
            <w:pPr>
              <w:ind w:left="0" w:firstLine="0"/>
              <w:rPr>
                <w:rFonts w:ascii="Times New Roman" w:hAnsi="Times New Roman" w:cs="Times New Roman"/>
                <w:sz w:val="24"/>
                <w:szCs w:val="24"/>
              </w:rPr>
            </w:pPr>
            <w:r>
              <w:rPr>
                <w:rFonts w:ascii="Times New Roman" w:hAnsi="Times New Roman" w:cs="Times New Roman"/>
                <w:sz w:val="24"/>
                <w:szCs w:val="24"/>
              </w:rPr>
              <w:t>f</w:t>
            </w:r>
            <w:r w:rsidR="00A62164" w:rsidRPr="00DB0BEA">
              <w:rPr>
                <w:rFonts w:ascii="Times New Roman" w:hAnsi="Times New Roman" w:cs="Times New Roman"/>
                <w:sz w:val="24"/>
                <w:szCs w:val="24"/>
              </w:rPr>
              <w:t xml:space="preserve">ebrúar </w:t>
            </w:r>
            <w:r>
              <w:rPr>
                <w:rFonts w:ascii="Times New Roman" w:hAnsi="Times New Roman" w:cs="Times New Roman"/>
                <w:sz w:val="24"/>
                <w:szCs w:val="24"/>
              </w:rPr>
              <w:t>árlega</w:t>
            </w:r>
          </w:p>
        </w:tc>
      </w:tr>
    </w:tbl>
    <w:p w14:paraId="254C4916" w14:textId="77777777" w:rsidR="00412AAF" w:rsidRDefault="00412AAF" w:rsidP="00CF0870">
      <w:pPr>
        <w:ind w:left="0" w:firstLine="0"/>
        <w:jc w:val="both"/>
        <w:rPr>
          <w:rFonts w:ascii="Times New Roman" w:hAnsi="Times New Roman" w:cs="Times New Roman"/>
          <w:b/>
          <w:sz w:val="24"/>
          <w:szCs w:val="24"/>
        </w:rPr>
      </w:pPr>
    </w:p>
    <w:p w14:paraId="7A9C921A" w14:textId="77777777" w:rsidR="00100F75" w:rsidRDefault="00100F75">
      <w:pPr>
        <w:rPr>
          <w:rFonts w:ascii="Times New Roman" w:hAnsi="Times New Roman" w:cs="Times New Roman"/>
          <w:b/>
          <w:sz w:val="24"/>
          <w:szCs w:val="24"/>
        </w:rPr>
      </w:pPr>
      <w:r>
        <w:rPr>
          <w:rFonts w:ascii="Times New Roman" w:hAnsi="Times New Roman" w:cs="Times New Roman"/>
          <w:b/>
          <w:sz w:val="24"/>
          <w:szCs w:val="24"/>
        </w:rPr>
        <w:t>Uppeldis- og tómstundastarf</w:t>
      </w:r>
    </w:p>
    <w:p w14:paraId="639DE9BA" w14:textId="047F5F65" w:rsidR="00100F75" w:rsidRDefault="00100F75" w:rsidP="00330FE3">
      <w:pPr>
        <w:ind w:left="284" w:firstLine="0"/>
        <w:jc w:val="both"/>
        <w:rPr>
          <w:rFonts w:ascii="Times New Roman" w:hAnsi="Times New Roman" w:cs="Times New Roman"/>
          <w:sz w:val="24"/>
          <w:szCs w:val="24"/>
        </w:rPr>
      </w:pPr>
      <w:r>
        <w:rPr>
          <w:rFonts w:ascii="Times New Roman" w:hAnsi="Times New Roman" w:cs="Times New Roman"/>
          <w:sz w:val="24"/>
          <w:szCs w:val="24"/>
        </w:rPr>
        <w:t>Kynjasamþættingar skal gætt við alla stefnumótun og áætlanagerð í skóla og uppeldisstarfi, þar á með</w:t>
      </w:r>
      <w:r w:rsidR="00C22FF7">
        <w:rPr>
          <w:rFonts w:ascii="Times New Roman" w:hAnsi="Times New Roman" w:cs="Times New Roman"/>
          <w:sz w:val="24"/>
          <w:szCs w:val="24"/>
        </w:rPr>
        <w:t>al</w:t>
      </w:r>
      <w:r>
        <w:rPr>
          <w:rFonts w:ascii="Times New Roman" w:hAnsi="Times New Roman" w:cs="Times New Roman"/>
          <w:sz w:val="24"/>
          <w:szCs w:val="24"/>
        </w:rPr>
        <w:t xml:space="preserve"> í íþrótta- og tómstundastarfi. Gæta þarf að námsefni feli ekki í sér kynjamismunun sbr. 23. gr. nr. 10/2008</w:t>
      </w:r>
      <w:r w:rsidR="00C22FF7">
        <w:rPr>
          <w:rFonts w:ascii="Times New Roman" w:hAnsi="Times New Roman" w:cs="Times New Roman"/>
          <w:sz w:val="24"/>
          <w:szCs w:val="24"/>
        </w:rPr>
        <w:t xml:space="preserve"> og vinna að því að undirbúa </w:t>
      </w:r>
      <w:r w:rsidR="005E6D83">
        <w:rPr>
          <w:rFonts w:ascii="Times New Roman" w:hAnsi="Times New Roman" w:cs="Times New Roman"/>
          <w:sz w:val="24"/>
          <w:szCs w:val="24"/>
        </w:rPr>
        <w:t>öll</w:t>
      </w:r>
      <w:r w:rsidR="00C22FF7">
        <w:rPr>
          <w:rFonts w:ascii="Times New Roman" w:hAnsi="Times New Roman" w:cs="Times New Roman"/>
          <w:sz w:val="24"/>
          <w:szCs w:val="24"/>
        </w:rPr>
        <w:t xml:space="preserve"> kyn undir jafna þátttöku í samfélaginu, s.s. í fjölskyldu og atvinnulífi</w:t>
      </w:r>
      <w:r>
        <w:rPr>
          <w:rFonts w:ascii="Times New Roman" w:hAnsi="Times New Roman" w:cs="Times New Roman"/>
          <w:sz w:val="24"/>
          <w:szCs w:val="24"/>
        </w:rPr>
        <w:t xml:space="preserve">. Stjórnendur skólastofnana eru hvattir til að vinna markvisst að eflingu fræðslu um jafnréttismál í skólastarfinu </w:t>
      </w:r>
      <w:r w:rsidR="00C22FF7">
        <w:rPr>
          <w:rFonts w:ascii="Times New Roman" w:hAnsi="Times New Roman" w:cs="Times New Roman"/>
          <w:sz w:val="24"/>
          <w:szCs w:val="24"/>
        </w:rPr>
        <w:t xml:space="preserve">og kynna öll störf í náms- og starfsfræðslu jafnt fyrir </w:t>
      </w:r>
      <w:r w:rsidR="005E6D83">
        <w:rPr>
          <w:rFonts w:ascii="Times New Roman" w:hAnsi="Times New Roman" w:cs="Times New Roman"/>
          <w:sz w:val="24"/>
          <w:szCs w:val="24"/>
        </w:rPr>
        <w:t>öllum</w:t>
      </w:r>
      <w:r w:rsidR="00C22FF7">
        <w:rPr>
          <w:rFonts w:ascii="Times New Roman" w:hAnsi="Times New Roman" w:cs="Times New Roman"/>
          <w:sz w:val="24"/>
          <w:szCs w:val="24"/>
        </w:rPr>
        <w:t xml:space="preserve"> kynjum.</w:t>
      </w:r>
    </w:p>
    <w:p w14:paraId="3C1C6F32" w14:textId="77777777" w:rsidR="00C22FF7" w:rsidRDefault="00C22FF7">
      <w:pPr>
        <w:rPr>
          <w:rFonts w:ascii="Times New Roman" w:hAnsi="Times New Roman" w:cs="Times New Roman"/>
          <w:sz w:val="24"/>
          <w:szCs w:val="24"/>
        </w:rPr>
      </w:pPr>
    </w:p>
    <w:tbl>
      <w:tblPr>
        <w:tblStyle w:val="TableGrid"/>
        <w:tblW w:w="0" w:type="auto"/>
        <w:tblInd w:w="714" w:type="dxa"/>
        <w:tblLook w:val="04A0" w:firstRow="1" w:lastRow="0" w:firstColumn="1" w:lastColumn="0" w:noHBand="0" w:noVBand="1"/>
      </w:tblPr>
      <w:tblGrid>
        <w:gridCol w:w="2838"/>
        <w:gridCol w:w="2789"/>
        <w:gridCol w:w="2721"/>
      </w:tblGrid>
      <w:tr w:rsidR="00C22FF7" w:rsidRPr="00DB0BEA" w14:paraId="43D61413" w14:textId="77777777" w:rsidTr="00686A56">
        <w:tc>
          <w:tcPr>
            <w:tcW w:w="3070" w:type="dxa"/>
            <w:shd w:val="clear" w:color="auto" w:fill="C6D9F1" w:themeFill="text2" w:themeFillTint="33"/>
          </w:tcPr>
          <w:p w14:paraId="29E296D9" w14:textId="77777777" w:rsidR="00C22FF7" w:rsidRPr="00DB0BEA" w:rsidRDefault="00C22FF7"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Aðgerð</w:t>
            </w:r>
          </w:p>
        </w:tc>
        <w:tc>
          <w:tcPr>
            <w:tcW w:w="3071" w:type="dxa"/>
            <w:shd w:val="clear" w:color="auto" w:fill="C6D9F1" w:themeFill="text2" w:themeFillTint="33"/>
          </w:tcPr>
          <w:p w14:paraId="74C1D9D2" w14:textId="77777777" w:rsidR="00C22FF7" w:rsidRPr="00DB0BEA" w:rsidRDefault="00C22FF7"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Ábyrgð</w:t>
            </w:r>
          </w:p>
        </w:tc>
        <w:tc>
          <w:tcPr>
            <w:tcW w:w="3071" w:type="dxa"/>
            <w:shd w:val="clear" w:color="auto" w:fill="C6D9F1" w:themeFill="text2" w:themeFillTint="33"/>
          </w:tcPr>
          <w:p w14:paraId="4BCE4912" w14:textId="77777777" w:rsidR="00C22FF7" w:rsidRPr="00DB0BEA" w:rsidRDefault="00C22FF7" w:rsidP="00686A56">
            <w:pPr>
              <w:ind w:left="0" w:firstLine="0"/>
              <w:rPr>
                <w:rFonts w:ascii="Times New Roman" w:hAnsi="Times New Roman" w:cs="Times New Roman"/>
                <w:b/>
                <w:i/>
                <w:sz w:val="24"/>
                <w:szCs w:val="24"/>
              </w:rPr>
            </w:pPr>
            <w:r w:rsidRPr="00DB0BEA">
              <w:rPr>
                <w:rFonts w:ascii="Times New Roman" w:hAnsi="Times New Roman" w:cs="Times New Roman"/>
                <w:b/>
                <w:i/>
                <w:sz w:val="24"/>
                <w:szCs w:val="24"/>
              </w:rPr>
              <w:t>Tímarammi</w:t>
            </w:r>
          </w:p>
        </w:tc>
      </w:tr>
      <w:tr w:rsidR="00C22FF7" w:rsidRPr="00DB0BEA" w14:paraId="0654CF2E" w14:textId="77777777" w:rsidTr="00686A56">
        <w:tc>
          <w:tcPr>
            <w:tcW w:w="3070" w:type="dxa"/>
          </w:tcPr>
          <w:p w14:paraId="06CD0342" w14:textId="77777777" w:rsidR="00C22FF7" w:rsidRPr="00DB0BEA" w:rsidRDefault="00C22FF7" w:rsidP="00C22FF7">
            <w:pPr>
              <w:ind w:left="0" w:firstLine="0"/>
              <w:jc w:val="left"/>
              <w:rPr>
                <w:rFonts w:ascii="Times New Roman" w:hAnsi="Times New Roman" w:cs="Times New Roman"/>
                <w:sz w:val="24"/>
                <w:szCs w:val="24"/>
              </w:rPr>
            </w:pPr>
            <w:r>
              <w:rPr>
                <w:rFonts w:ascii="Times New Roman" w:hAnsi="Times New Roman" w:cs="Times New Roman"/>
                <w:sz w:val="24"/>
                <w:szCs w:val="24"/>
              </w:rPr>
              <w:t>Gæta að því að námsefni feli ekki í sér kynjamismunun. Markviss kynning á jafnrétti í leik- og grunnskóla. Gerð jafnréttisáætlunar.</w:t>
            </w:r>
          </w:p>
        </w:tc>
        <w:tc>
          <w:tcPr>
            <w:tcW w:w="3071" w:type="dxa"/>
          </w:tcPr>
          <w:p w14:paraId="0202B31A" w14:textId="77777777" w:rsidR="00C22FF7" w:rsidRPr="00DB0BEA" w:rsidRDefault="00C22FF7" w:rsidP="00C22FF7">
            <w:pPr>
              <w:ind w:left="0" w:firstLine="0"/>
              <w:rPr>
                <w:rFonts w:ascii="Times New Roman" w:hAnsi="Times New Roman" w:cs="Times New Roman"/>
                <w:sz w:val="24"/>
                <w:szCs w:val="24"/>
              </w:rPr>
            </w:pPr>
            <w:r>
              <w:rPr>
                <w:rFonts w:ascii="Times New Roman" w:hAnsi="Times New Roman" w:cs="Times New Roman"/>
                <w:sz w:val="24"/>
                <w:szCs w:val="24"/>
              </w:rPr>
              <w:t>Fræðslunefnd og stjórnendur skólastofnanna.</w:t>
            </w:r>
          </w:p>
        </w:tc>
        <w:tc>
          <w:tcPr>
            <w:tcW w:w="3071" w:type="dxa"/>
          </w:tcPr>
          <w:p w14:paraId="3C9DA1CB" w14:textId="77777777" w:rsidR="00C22FF7" w:rsidRPr="00DB0BEA" w:rsidRDefault="00C22FF7" w:rsidP="00C22FF7">
            <w:pPr>
              <w:ind w:left="0" w:firstLine="0"/>
              <w:jc w:val="both"/>
              <w:rPr>
                <w:rFonts w:ascii="Times New Roman" w:hAnsi="Times New Roman" w:cs="Times New Roman"/>
                <w:sz w:val="24"/>
                <w:szCs w:val="24"/>
              </w:rPr>
            </w:pPr>
            <w:r>
              <w:rPr>
                <w:rFonts w:ascii="Times New Roman" w:hAnsi="Times New Roman" w:cs="Times New Roman"/>
                <w:sz w:val="24"/>
                <w:szCs w:val="24"/>
              </w:rPr>
              <w:t>20. ágúst ár hvert.</w:t>
            </w:r>
          </w:p>
        </w:tc>
      </w:tr>
    </w:tbl>
    <w:p w14:paraId="7E9CC770" w14:textId="77777777" w:rsidR="00C22FF7" w:rsidRPr="00100F75" w:rsidRDefault="00C22FF7">
      <w:pPr>
        <w:rPr>
          <w:rFonts w:ascii="Times New Roman" w:hAnsi="Times New Roman" w:cs="Times New Roman"/>
          <w:sz w:val="24"/>
          <w:szCs w:val="24"/>
        </w:rPr>
      </w:pPr>
    </w:p>
    <w:p w14:paraId="05A8D45C" w14:textId="77777777" w:rsidR="005E6D83" w:rsidRDefault="005E6D83">
      <w:pPr>
        <w:rPr>
          <w:rFonts w:ascii="Times New Roman" w:hAnsi="Times New Roman" w:cs="Times New Roman"/>
          <w:b/>
          <w:sz w:val="24"/>
          <w:szCs w:val="24"/>
        </w:rPr>
      </w:pPr>
    </w:p>
    <w:p w14:paraId="5F9C0893" w14:textId="257B48E9" w:rsidR="00622436" w:rsidRDefault="003D50EB">
      <w:pPr>
        <w:rPr>
          <w:rFonts w:ascii="Times New Roman" w:hAnsi="Times New Roman" w:cs="Times New Roman"/>
          <w:b/>
          <w:sz w:val="24"/>
          <w:szCs w:val="24"/>
        </w:rPr>
      </w:pPr>
      <w:r>
        <w:rPr>
          <w:rFonts w:ascii="Times New Roman" w:hAnsi="Times New Roman" w:cs="Times New Roman"/>
          <w:b/>
          <w:sz w:val="24"/>
          <w:szCs w:val="24"/>
        </w:rPr>
        <w:lastRenderedPageBreak/>
        <w:t>Endurskoðun og kynning</w:t>
      </w:r>
    </w:p>
    <w:p w14:paraId="0001D708" w14:textId="77777777" w:rsidR="00CF0870" w:rsidRDefault="00A14152" w:rsidP="00CF0870">
      <w:pPr>
        <w:ind w:left="284" w:firstLine="0"/>
        <w:jc w:val="both"/>
        <w:rPr>
          <w:rFonts w:ascii="Times New Roman" w:hAnsi="Times New Roman" w:cs="Times New Roman"/>
          <w:sz w:val="24"/>
          <w:szCs w:val="24"/>
        </w:rPr>
      </w:pPr>
      <w:r>
        <w:rPr>
          <w:rFonts w:ascii="Times New Roman" w:hAnsi="Times New Roman" w:cs="Times New Roman"/>
          <w:sz w:val="24"/>
          <w:szCs w:val="24"/>
        </w:rPr>
        <w:t xml:space="preserve">Jafnréttisáætlunin skal vera aðgengileg á vefsíðu sveitarfélagsins </w:t>
      </w:r>
      <w:hyperlink r:id="rId8" w:history="1">
        <w:r w:rsidRPr="00C95E2B">
          <w:rPr>
            <w:rStyle w:val="Hyperlink"/>
            <w:rFonts w:ascii="Times New Roman" w:hAnsi="Times New Roman" w:cs="Times New Roman"/>
            <w:sz w:val="24"/>
            <w:szCs w:val="24"/>
          </w:rPr>
          <w:t>www.klaustur.is</w:t>
        </w:r>
      </w:hyperlink>
      <w:r>
        <w:rPr>
          <w:rFonts w:ascii="Times New Roman" w:hAnsi="Times New Roman" w:cs="Times New Roman"/>
          <w:sz w:val="24"/>
          <w:szCs w:val="24"/>
        </w:rPr>
        <w:t xml:space="preserve"> og send inná hvert heimili, fyrirtæki og stofnanir Skaftárhrepps.</w:t>
      </w:r>
    </w:p>
    <w:p w14:paraId="61A30966" w14:textId="77777777" w:rsidR="00A14152" w:rsidRDefault="00A14152" w:rsidP="00CF0870">
      <w:pPr>
        <w:ind w:left="284" w:firstLine="0"/>
        <w:jc w:val="both"/>
        <w:rPr>
          <w:rFonts w:ascii="Times New Roman" w:hAnsi="Times New Roman" w:cs="Times New Roman"/>
          <w:sz w:val="24"/>
          <w:szCs w:val="24"/>
        </w:rPr>
      </w:pPr>
    </w:p>
    <w:p w14:paraId="46AC7070" w14:textId="77777777" w:rsidR="00A14152" w:rsidRDefault="00FE6418" w:rsidP="00CF0870">
      <w:pPr>
        <w:ind w:left="284" w:firstLine="0"/>
        <w:jc w:val="both"/>
        <w:rPr>
          <w:rFonts w:ascii="Times New Roman" w:hAnsi="Times New Roman" w:cs="Times New Roman"/>
          <w:sz w:val="24"/>
          <w:szCs w:val="24"/>
        </w:rPr>
      </w:pPr>
      <w:r>
        <w:rPr>
          <w:rFonts w:ascii="Times New Roman" w:hAnsi="Times New Roman" w:cs="Times New Roman"/>
          <w:sz w:val="24"/>
          <w:szCs w:val="24"/>
        </w:rPr>
        <w:t>Áætlunina skal endurskoðuð eftir þörfum og alltaf</w:t>
      </w:r>
      <w:r w:rsidR="00A14152">
        <w:rPr>
          <w:rFonts w:ascii="Times New Roman" w:hAnsi="Times New Roman" w:cs="Times New Roman"/>
          <w:sz w:val="24"/>
          <w:szCs w:val="24"/>
        </w:rPr>
        <w:t xml:space="preserve"> í upphafi hvers kjörtímabils.</w:t>
      </w:r>
    </w:p>
    <w:p w14:paraId="26009571" w14:textId="77777777" w:rsidR="005E6D83" w:rsidRDefault="005E6D83" w:rsidP="00CF0870">
      <w:pPr>
        <w:ind w:left="284" w:firstLine="0"/>
        <w:jc w:val="both"/>
        <w:rPr>
          <w:rFonts w:ascii="Times New Roman" w:hAnsi="Times New Roman" w:cs="Times New Roman"/>
          <w:sz w:val="24"/>
          <w:szCs w:val="24"/>
        </w:rPr>
      </w:pPr>
    </w:p>
    <w:p w14:paraId="60624CFB" w14:textId="38E78C5D" w:rsidR="00A14152" w:rsidRDefault="00A14152" w:rsidP="00CF0870">
      <w:pPr>
        <w:ind w:left="284" w:firstLine="0"/>
        <w:jc w:val="both"/>
        <w:rPr>
          <w:rFonts w:ascii="Times New Roman" w:hAnsi="Times New Roman" w:cs="Times New Roman"/>
          <w:sz w:val="24"/>
          <w:szCs w:val="24"/>
        </w:rPr>
      </w:pPr>
      <w:r>
        <w:rPr>
          <w:rFonts w:ascii="Times New Roman" w:hAnsi="Times New Roman" w:cs="Times New Roman"/>
          <w:sz w:val="24"/>
          <w:szCs w:val="24"/>
        </w:rPr>
        <w:t xml:space="preserve">Samþykkt í sveitarstjórn Skaftárhrepps </w:t>
      </w:r>
      <w:r w:rsidR="004075D2" w:rsidRPr="005E6D83">
        <w:rPr>
          <w:rFonts w:ascii="Times New Roman" w:hAnsi="Times New Roman" w:cs="Times New Roman"/>
          <w:sz w:val="24"/>
          <w:szCs w:val="24"/>
          <w:highlight w:val="yellow"/>
        </w:rPr>
        <w:t>14. janúar 2016.</w:t>
      </w:r>
    </w:p>
    <w:p w14:paraId="4D945F1D" w14:textId="77777777" w:rsidR="005E6D83" w:rsidRDefault="005E6D83" w:rsidP="00CF0870">
      <w:pPr>
        <w:ind w:left="284" w:firstLine="0"/>
        <w:jc w:val="both"/>
        <w:rPr>
          <w:rFonts w:ascii="Times New Roman" w:hAnsi="Times New Roman" w:cs="Times New Roman"/>
          <w:sz w:val="24"/>
          <w:szCs w:val="24"/>
        </w:rPr>
      </w:pPr>
    </w:p>
    <w:p w14:paraId="36302049" w14:textId="7F71D8BA" w:rsidR="00EF6F91" w:rsidRPr="00CF0870" w:rsidRDefault="00EF6F91" w:rsidP="00CF0870">
      <w:pPr>
        <w:ind w:left="284" w:firstLine="0"/>
        <w:jc w:val="both"/>
        <w:rPr>
          <w:rFonts w:ascii="Times New Roman" w:hAnsi="Times New Roman" w:cs="Times New Roman"/>
          <w:sz w:val="24"/>
          <w:szCs w:val="24"/>
        </w:rPr>
      </w:pPr>
      <w:r>
        <w:rPr>
          <w:rFonts w:ascii="Times New Roman" w:hAnsi="Times New Roman" w:cs="Times New Roman"/>
          <w:sz w:val="24"/>
          <w:szCs w:val="24"/>
        </w:rPr>
        <w:t xml:space="preserve">Endurskoðuð áætlun samþykkt í sveitarstjórn Skaftárhrepps </w:t>
      </w:r>
      <w:r w:rsidRPr="005E6D83">
        <w:rPr>
          <w:rFonts w:ascii="Times New Roman" w:hAnsi="Times New Roman" w:cs="Times New Roman"/>
          <w:sz w:val="24"/>
          <w:szCs w:val="24"/>
          <w:highlight w:val="yellow"/>
        </w:rPr>
        <w:t>16. desember 2019</w:t>
      </w:r>
    </w:p>
    <w:sectPr w:rsidR="00EF6F91" w:rsidRPr="00CF0870" w:rsidSect="00DB0BE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AEF1" w14:textId="77777777" w:rsidR="00800ED6" w:rsidRDefault="00800ED6" w:rsidP="0089677F">
      <w:pPr>
        <w:spacing w:before="0"/>
      </w:pPr>
      <w:r>
        <w:separator/>
      </w:r>
    </w:p>
  </w:endnote>
  <w:endnote w:type="continuationSeparator" w:id="0">
    <w:p w14:paraId="3F60F202" w14:textId="77777777" w:rsidR="00800ED6" w:rsidRDefault="00800ED6" w:rsidP="008967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ACFA" w14:textId="77777777" w:rsidR="0089677F" w:rsidRDefault="0089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CE24" w14:textId="77777777" w:rsidR="0089677F" w:rsidRDefault="0089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ABEE" w14:textId="77777777" w:rsidR="0089677F" w:rsidRDefault="00896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66D44" w14:textId="77777777" w:rsidR="00800ED6" w:rsidRDefault="00800ED6" w:rsidP="0089677F">
      <w:pPr>
        <w:spacing w:before="0"/>
      </w:pPr>
      <w:r>
        <w:separator/>
      </w:r>
    </w:p>
  </w:footnote>
  <w:footnote w:type="continuationSeparator" w:id="0">
    <w:p w14:paraId="262DECBF" w14:textId="77777777" w:rsidR="00800ED6" w:rsidRDefault="00800ED6" w:rsidP="0089677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9BE9" w14:textId="77777777" w:rsidR="0089677F" w:rsidRDefault="0089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B57A" w14:textId="77777777" w:rsidR="0089677F" w:rsidRDefault="0089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2BD2" w14:textId="77777777" w:rsidR="0089677F" w:rsidRDefault="008967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D0"/>
    <w:rsid w:val="000C1FC6"/>
    <w:rsid w:val="000C3087"/>
    <w:rsid w:val="000D757D"/>
    <w:rsid w:val="00100F75"/>
    <w:rsid w:val="0017391A"/>
    <w:rsid w:val="001E294A"/>
    <w:rsid w:val="00222668"/>
    <w:rsid w:val="002E7C31"/>
    <w:rsid w:val="002F7828"/>
    <w:rsid w:val="00330FE3"/>
    <w:rsid w:val="00387B15"/>
    <w:rsid w:val="003A7D15"/>
    <w:rsid w:val="003C7301"/>
    <w:rsid w:val="003D50EB"/>
    <w:rsid w:val="003F3D33"/>
    <w:rsid w:val="003F73F5"/>
    <w:rsid w:val="004075D2"/>
    <w:rsid w:val="00412AAF"/>
    <w:rsid w:val="0044304E"/>
    <w:rsid w:val="0048283D"/>
    <w:rsid w:val="00490886"/>
    <w:rsid w:val="005139BE"/>
    <w:rsid w:val="005302FD"/>
    <w:rsid w:val="005637DE"/>
    <w:rsid w:val="005A207E"/>
    <w:rsid w:val="005A3F28"/>
    <w:rsid w:val="005C2E8B"/>
    <w:rsid w:val="005E6D83"/>
    <w:rsid w:val="005F4229"/>
    <w:rsid w:val="00622436"/>
    <w:rsid w:val="00622660"/>
    <w:rsid w:val="006858C8"/>
    <w:rsid w:val="0068787D"/>
    <w:rsid w:val="006A02DD"/>
    <w:rsid w:val="006F0319"/>
    <w:rsid w:val="007112BC"/>
    <w:rsid w:val="00800ED6"/>
    <w:rsid w:val="00834695"/>
    <w:rsid w:val="0089677F"/>
    <w:rsid w:val="00931473"/>
    <w:rsid w:val="009810D0"/>
    <w:rsid w:val="009D4CC2"/>
    <w:rsid w:val="00A14152"/>
    <w:rsid w:val="00A170BC"/>
    <w:rsid w:val="00A62164"/>
    <w:rsid w:val="00A8613D"/>
    <w:rsid w:val="00B0732D"/>
    <w:rsid w:val="00B27C3F"/>
    <w:rsid w:val="00B44177"/>
    <w:rsid w:val="00B60644"/>
    <w:rsid w:val="00B7191C"/>
    <w:rsid w:val="00B754DC"/>
    <w:rsid w:val="00B764DD"/>
    <w:rsid w:val="00BA531E"/>
    <w:rsid w:val="00BB5085"/>
    <w:rsid w:val="00BB7058"/>
    <w:rsid w:val="00C06322"/>
    <w:rsid w:val="00C06C2D"/>
    <w:rsid w:val="00C22FF7"/>
    <w:rsid w:val="00C30DA5"/>
    <w:rsid w:val="00C46EB8"/>
    <w:rsid w:val="00C74D80"/>
    <w:rsid w:val="00CE37E6"/>
    <w:rsid w:val="00CF0870"/>
    <w:rsid w:val="00D01499"/>
    <w:rsid w:val="00D63EAC"/>
    <w:rsid w:val="00D6534F"/>
    <w:rsid w:val="00D71363"/>
    <w:rsid w:val="00DB099C"/>
    <w:rsid w:val="00DB0BEA"/>
    <w:rsid w:val="00DF2169"/>
    <w:rsid w:val="00E360EA"/>
    <w:rsid w:val="00E549C2"/>
    <w:rsid w:val="00EC7101"/>
    <w:rsid w:val="00EF6F91"/>
    <w:rsid w:val="00F006AC"/>
    <w:rsid w:val="00F111AD"/>
    <w:rsid w:val="00F33B6C"/>
    <w:rsid w:val="00F378BD"/>
    <w:rsid w:val="00F62397"/>
    <w:rsid w:val="00F87037"/>
    <w:rsid w:val="00FA4DE3"/>
    <w:rsid w:val="00FE641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75D0C"/>
  <w15:docId w15:val="{ED0B8F67-F9A6-4C22-BF5B-2D467538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before="120"/>
        <w:ind w:left="714" w:hanging="3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207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B7191C"/>
    <w:pPr>
      <w:tabs>
        <w:tab w:val="decimal" w:pos="360"/>
      </w:tabs>
      <w:spacing w:before="0" w:after="200" w:line="276" w:lineRule="auto"/>
      <w:ind w:left="0" w:firstLine="0"/>
      <w:jc w:val="left"/>
    </w:pPr>
    <w:rPr>
      <w:lang w:val="en-US" w:eastAsia="ja-JP"/>
    </w:rPr>
  </w:style>
  <w:style w:type="paragraph" w:styleId="FootnoteText">
    <w:name w:val="footnote text"/>
    <w:basedOn w:val="Normal"/>
    <w:link w:val="FootnoteTextChar"/>
    <w:uiPriority w:val="99"/>
    <w:unhideWhenUsed/>
    <w:rsid w:val="00B7191C"/>
    <w:pPr>
      <w:spacing w:before="0"/>
      <w:ind w:left="0" w:firstLine="0"/>
      <w:jc w:val="left"/>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7191C"/>
    <w:rPr>
      <w:rFonts w:eastAsiaTheme="minorEastAsia"/>
      <w:sz w:val="20"/>
      <w:szCs w:val="20"/>
      <w:lang w:val="en-US" w:eastAsia="ja-JP"/>
    </w:rPr>
  </w:style>
  <w:style w:type="character" w:styleId="SubtleEmphasis">
    <w:name w:val="Subtle Emphasis"/>
    <w:basedOn w:val="DefaultParagraphFont"/>
    <w:uiPriority w:val="19"/>
    <w:qFormat/>
    <w:rsid w:val="00B7191C"/>
    <w:rPr>
      <w:i/>
      <w:iCs/>
      <w:color w:val="7F7F7F" w:themeColor="text1" w:themeTint="80"/>
    </w:rPr>
  </w:style>
  <w:style w:type="table" w:styleId="MediumShading2-Accent5">
    <w:name w:val="Medium Shading 2 Accent 5"/>
    <w:basedOn w:val="TableNormal"/>
    <w:uiPriority w:val="64"/>
    <w:rsid w:val="00B7191C"/>
    <w:pPr>
      <w:spacing w:before="0"/>
      <w:ind w:left="0" w:firstLine="0"/>
      <w:jc w:val="left"/>
    </w:pPr>
    <w:rPr>
      <w:rFonts w:eastAsiaTheme="minorEastAsia"/>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DB0BE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EA"/>
    <w:rPr>
      <w:rFonts w:ascii="Tahoma" w:hAnsi="Tahoma" w:cs="Tahoma"/>
      <w:sz w:val="16"/>
      <w:szCs w:val="16"/>
    </w:rPr>
  </w:style>
  <w:style w:type="character" w:styleId="Hyperlink">
    <w:name w:val="Hyperlink"/>
    <w:basedOn w:val="DefaultParagraphFont"/>
    <w:uiPriority w:val="99"/>
    <w:unhideWhenUsed/>
    <w:rsid w:val="00A14152"/>
    <w:rPr>
      <w:color w:val="0000FF" w:themeColor="hyperlink"/>
      <w:u w:val="single"/>
    </w:rPr>
  </w:style>
  <w:style w:type="paragraph" w:styleId="Header">
    <w:name w:val="header"/>
    <w:basedOn w:val="Normal"/>
    <w:link w:val="HeaderChar"/>
    <w:uiPriority w:val="99"/>
    <w:unhideWhenUsed/>
    <w:rsid w:val="0089677F"/>
    <w:pPr>
      <w:tabs>
        <w:tab w:val="center" w:pos="4536"/>
        <w:tab w:val="right" w:pos="9072"/>
      </w:tabs>
      <w:spacing w:before="0"/>
    </w:pPr>
  </w:style>
  <w:style w:type="character" w:customStyle="1" w:styleId="HeaderChar">
    <w:name w:val="Header Char"/>
    <w:basedOn w:val="DefaultParagraphFont"/>
    <w:link w:val="Header"/>
    <w:uiPriority w:val="99"/>
    <w:rsid w:val="0089677F"/>
  </w:style>
  <w:style w:type="paragraph" w:styleId="Footer">
    <w:name w:val="footer"/>
    <w:basedOn w:val="Normal"/>
    <w:link w:val="FooterChar"/>
    <w:uiPriority w:val="99"/>
    <w:unhideWhenUsed/>
    <w:rsid w:val="0089677F"/>
    <w:pPr>
      <w:tabs>
        <w:tab w:val="center" w:pos="4536"/>
        <w:tab w:val="right" w:pos="9072"/>
      </w:tabs>
      <w:spacing w:before="0"/>
    </w:pPr>
  </w:style>
  <w:style w:type="character" w:customStyle="1" w:styleId="FooterChar">
    <w:name w:val="Footer Char"/>
    <w:basedOn w:val="DefaultParagraphFont"/>
    <w:link w:val="Footer"/>
    <w:uiPriority w:val="99"/>
    <w:rsid w:val="0089677F"/>
  </w:style>
  <w:style w:type="character" w:styleId="CommentReference">
    <w:name w:val="annotation reference"/>
    <w:basedOn w:val="DefaultParagraphFont"/>
    <w:uiPriority w:val="99"/>
    <w:semiHidden/>
    <w:unhideWhenUsed/>
    <w:rsid w:val="00DB099C"/>
    <w:rPr>
      <w:sz w:val="16"/>
      <w:szCs w:val="16"/>
    </w:rPr>
  </w:style>
  <w:style w:type="paragraph" w:styleId="CommentText">
    <w:name w:val="annotation text"/>
    <w:basedOn w:val="Normal"/>
    <w:link w:val="CommentTextChar"/>
    <w:uiPriority w:val="99"/>
    <w:semiHidden/>
    <w:unhideWhenUsed/>
    <w:rsid w:val="00DB099C"/>
    <w:rPr>
      <w:sz w:val="20"/>
      <w:szCs w:val="20"/>
    </w:rPr>
  </w:style>
  <w:style w:type="character" w:customStyle="1" w:styleId="CommentTextChar">
    <w:name w:val="Comment Text Char"/>
    <w:basedOn w:val="DefaultParagraphFont"/>
    <w:link w:val="CommentText"/>
    <w:uiPriority w:val="99"/>
    <w:semiHidden/>
    <w:rsid w:val="00DB099C"/>
    <w:rPr>
      <w:sz w:val="20"/>
      <w:szCs w:val="20"/>
    </w:rPr>
  </w:style>
  <w:style w:type="paragraph" w:styleId="CommentSubject">
    <w:name w:val="annotation subject"/>
    <w:basedOn w:val="CommentText"/>
    <w:next w:val="CommentText"/>
    <w:link w:val="CommentSubjectChar"/>
    <w:uiPriority w:val="99"/>
    <w:semiHidden/>
    <w:unhideWhenUsed/>
    <w:rsid w:val="00DB099C"/>
    <w:rPr>
      <w:b/>
      <w:bCs/>
    </w:rPr>
  </w:style>
  <w:style w:type="character" w:customStyle="1" w:styleId="CommentSubjectChar">
    <w:name w:val="Comment Subject Char"/>
    <w:basedOn w:val="CommentTextChar"/>
    <w:link w:val="CommentSubject"/>
    <w:uiPriority w:val="99"/>
    <w:semiHidden/>
    <w:rsid w:val="00DB099C"/>
    <w:rPr>
      <w:b/>
      <w:bCs/>
      <w:sz w:val="20"/>
      <w:szCs w:val="20"/>
    </w:rPr>
  </w:style>
  <w:style w:type="paragraph" w:styleId="Revision">
    <w:name w:val="Revision"/>
    <w:hidden/>
    <w:uiPriority w:val="99"/>
    <w:semiHidden/>
    <w:rsid w:val="00C06322"/>
    <w:pPr>
      <w:spacing w:before="0"/>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ustur.i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0497-397C-4193-ABAC-6FD7D412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7542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Brá Jóhannsdóttir</dc:creator>
  <cp:lastModifiedBy>Kbstofa-kynning</cp:lastModifiedBy>
  <cp:revision>2</cp:revision>
  <cp:lastPrinted>2016-01-15T10:34:00Z</cp:lastPrinted>
  <dcterms:created xsi:type="dcterms:W3CDTF">2022-04-20T10:09:00Z</dcterms:created>
  <dcterms:modified xsi:type="dcterms:W3CDTF">2022-04-20T10:09:00Z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jafnrettisáætlun yfirfarin af jafnréttisstofu.docx</vt:lpwstr>
  </property>
  <property fmtid="{D5CDD505-2E9C-101B-9397-08002B2CF9AE}" pid="3" name="One_Number">
    <vt:lpwstr>1912020</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Eva Björk Harðardóttir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0.1</vt:lpwstr>
  </property>
</Properties>
</file>